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66724" w14:textId="77777777" w:rsidR="00EE2D16" w:rsidRDefault="00EE2D16" w:rsidP="00EE2D16">
      <w:pPr>
        <w:tabs>
          <w:tab w:val="left" w:pos="-24212"/>
        </w:tabs>
        <w:jc w:val="center"/>
        <w:rPr>
          <w:sz w:val="20"/>
          <w:szCs w:val="20"/>
        </w:rPr>
      </w:pPr>
      <w:r>
        <w:rPr>
          <w:noProof/>
          <w:sz w:val="20"/>
          <w:szCs w:val="20"/>
        </w:rPr>
        <w:drawing>
          <wp:inline distT="0" distB="0" distL="0" distR="0" wp14:anchorId="3F25E1E6" wp14:editId="2B580C13">
            <wp:extent cx="676275" cy="752475"/>
            <wp:effectExtent l="0" t="0" r="9525" b="9525"/>
            <wp:docPr id="130"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1FC976" w14:textId="77777777" w:rsidR="00EE2D16" w:rsidRDefault="00EE2D16" w:rsidP="00EE2D16">
      <w:pPr>
        <w:pStyle w:val="Header"/>
        <w:jc w:val="center"/>
        <w:rPr>
          <w:sz w:val="20"/>
        </w:rPr>
      </w:pPr>
      <w:r>
        <w:rPr>
          <w:sz w:val="20"/>
        </w:rPr>
        <w:t>LATVIJAS REPUBLIKA</w:t>
      </w:r>
    </w:p>
    <w:p w14:paraId="6E809798" w14:textId="77777777" w:rsidR="00EE2D16" w:rsidRDefault="00EE2D16" w:rsidP="00EE2D16">
      <w:pPr>
        <w:pStyle w:val="Header"/>
        <w:jc w:val="center"/>
        <w:rPr>
          <w:b/>
          <w:sz w:val="32"/>
          <w:szCs w:val="32"/>
        </w:rPr>
      </w:pPr>
      <w:r>
        <w:rPr>
          <w:b/>
          <w:sz w:val="32"/>
          <w:szCs w:val="32"/>
        </w:rPr>
        <w:t>DOBELES NOVADA DOME</w:t>
      </w:r>
    </w:p>
    <w:p w14:paraId="5644995B" w14:textId="77777777" w:rsidR="00EE2D16" w:rsidRDefault="00EE2D16" w:rsidP="00EE2D16">
      <w:pPr>
        <w:pStyle w:val="Header"/>
        <w:jc w:val="center"/>
        <w:rPr>
          <w:sz w:val="16"/>
          <w:szCs w:val="16"/>
        </w:rPr>
      </w:pPr>
      <w:r>
        <w:rPr>
          <w:sz w:val="16"/>
          <w:szCs w:val="16"/>
        </w:rPr>
        <w:t>Brīvības iela 17, Dobele, Dobeles novads, LV-3701</w:t>
      </w:r>
    </w:p>
    <w:p w14:paraId="20BC0AB5" w14:textId="77777777" w:rsidR="00EE2D16" w:rsidRDefault="00EE2D16" w:rsidP="00EE2D16">
      <w:pPr>
        <w:pStyle w:val="Header"/>
        <w:pBdr>
          <w:bottom w:val="double" w:sz="6" w:space="1" w:color="auto"/>
        </w:pBdr>
        <w:jc w:val="center"/>
        <w:rPr>
          <w:color w:val="000000"/>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68F382A4" w14:textId="77777777" w:rsidR="00EE2D16" w:rsidRDefault="00EE2D16" w:rsidP="00EE2D16">
      <w:pPr>
        <w:jc w:val="center"/>
        <w:rPr>
          <w:b/>
        </w:rPr>
      </w:pPr>
    </w:p>
    <w:p w14:paraId="60E7B2F4" w14:textId="77777777" w:rsidR="00EE2D16" w:rsidRPr="00983F78" w:rsidRDefault="00EE2D16" w:rsidP="00EE2D16">
      <w:pPr>
        <w:jc w:val="center"/>
        <w:rPr>
          <w:b/>
        </w:rPr>
      </w:pPr>
      <w:r w:rsidRPr="00983F78">
        <w:rPr>
          <w:b/>
        </w:rPr>
        <w:t>LĒMUMS</w:t>
      </w:r>
    </w:p>
    <w:p w14:paraId="33C931A1" w14:textId="77777777" w:rsidR="00EE2D16" w:rsidRPr="00983F78" w:rsidRDefault="00EE2D16" w:rsidP="00EE2D16">
      <w:pPr>
        <w:jc w:val="center"/>
        <w:rPr>
          <w:b/>
        </w:rPr>
      </w:pPr>
      <w:r w:rsidRPr="00983F78">
        <w:rPr>
          <w:b/>
        </w:rPr>
        <w:t>Dobelē</w:t>
      </w:r>
    </w:p>
    <w:p w14:paraId="4881B20C" w14:textId="77777777" w:rsidR="00EE2D16" w:rsidRPr="00983F78" w:rsidRDefault="00EE2D16" w:rsidP="00EE2D16">
      <w:pPr>
        <w:rPr>
          <w:b/>
        </w:rPr>
      </w:pPr>
    </w:p>
    <w:p w14:paraId="329857EB" w14:textId="77777777" w:rsidR="00EE2D16" w:rsidRPr="00983F78" w:rsidRDefault="00EE2D16" w:rsidP="00EE2D16">
      <w:pPr>
        <w:tabs>
          <w:tab w:val="center" w:pos="4153"/>
          <w:tab w:val="left" w:pos="8080"/>
          <w:tab w:val="right" w:pos="9498"/>
        </w:tabs>
        <w:rPr>
          <w:color w:val="000000"/>
        </w:rPr>
      </w:pPr>
      <w:r w:rsidRPr="00983F78">
        <w:rPr>
          <w:b/>
          <w:lang w:eastAsia="x-none"/>
        </w:rPr>
        <w:t>2022. gada 28.</w:t>
      </w:r>
      <w:r>
        <w:rPr>
          <w:b/>
          <w:lang w:eastAsia="x-none"/>
        </w:rPr>
        <w:t xml:space="preserve"> </w:t>
      </w:r>
      <w:r w:rsidRPr="00983F78">
        <w:rPr>
          <w:b/>
          <w:lang w:eastAsia="x-none"/>
        </w:rPr>
        <w:t>jūlij</w:t>
      </w:r>
      <w:r>
        <w:rPr>
          <w:b/>
          <w:lang w:eastAsia="x-none"/>
        </w:rPr>
        <w:t>ā</w:t>
      </w:r>
      <w:r w:rsidRPr="00983F78">
        <w:rPr>
          <w:b/>
          <w:lang w:eastAsia="x-none"/>
        </w:rPr>
        <w:tab/>
        <w:t xml:space="preserve">                                                                                                    </w:t>
      </w:r>
      <w:r w:rsidRPr="00983F78">
        <w:rPr>
          <w:b/>
          <w:color w:val="000000"/>
        </w:rPr>
        <w:t>Nr.</w:t>
      </w:r>
      <w:r>
        <w:rPr>
          <w:b/>
          <w:color w:val="000000"/>
        </w:rPr>
        <w:t>349</w:t>
      </w:r>
      <w:r w:rsidRPr="00983F78">
        <w:rPr>
          <w:b/>
          <w:color w:val="000000"/>
        </w:rPr>
        <w:t>/1</w:t>
      </w:r>
      <w:r>
        <w:rPr>
          <w:b/>
          <w:color w:val="000000"/>
        </w:rPr>
        <w:t>3</w:t>
      </w:r>
    </w:p>
    <w:p w14:paraId="197198E2" w14:textId="77777777" w:rsidR="00EE2D16" w:rsidRPr="00983F78" w:rsidRDefault="00EE2D16" w:rsidP="00EE2D16">
      <w:pPr>
        <w:jc w:val="right"/>
        <w:rPr>
          <w:color w:val="000000"/>
        </w:rPr>
      </w:pPr>
      <w:r w:rsidRPr="00983F78">
        <w:rPr>
          <w:color w:val="000000"/>
        </w:rPr>
        <w:t>(prot.Nr.1</w:t>
      </w:r>
      <w:r>
        <w:rPr>
          <w:color w:val="000000"/>
        </w:rPr>
        <w:t>3</w:t>
      </w:r>
      <w:r w:rsidRPr="00983F78">
        <w:rPr>
          <w:color w:val="000000"/>
        </w:rPr>
        <w:t xml:space="preserve">, </w:t>
      </w:r>
      <w:r>
        <w:rPr>
          <w:color w:val="000000"/>
        </w:rPr>
        <w:t>9</w:t>
      </w:r>
      <w:r w:rsidRPr="00983F78">
        <w:rPr>
          <w:color w:val="000000"/>
        </w:rPr>
        <w:t>.§)</w:t>
      </w:r>
    </w:p>
    <w:p w14:paraId="3602C6A8" w14:textId="77777777" w:rsidR="00EE2D16" w:rsidRPr="00983F78" w:rsidRDefault="00EE2D16" w:rsidP="00EE2D16">
      <w:pPr>
        <w:suppressAutoHyphens/>
        <w:rPr>
          <w:rFonts w:eastAsia="Calibri"/>
          <w:b/>
          <w:lang w:eastAsia="ar-SA"/>
        </w:rPr>
      </w:pPr>
    </w:p>
    <w:p w14:paraId="238BE97C" w14:textId="77777777" w:rsidR="00EE2D16" w:rsidRPr="00983F78" w:rsidRDefault="00EE2D16" w:rsidP="00EE2D16">
      <w:pPr>
        <w:jc w:val="center"/>
        <w:rPr>
          <w:b/>
          <w:u w:val="single"/>
        </w:rPr>
      </w:pPr>
      <w:r w:rsidRPr="00983F78">
        <w:rPr>
          <w:b/>
          <w:u w:val="single"/>
        </w:rPr>
        <w:t>Par nolikuma “Grozījumi Dobeles novada pašvaldības institūciju amatpersonu un darbinieku atlīdzības nolikumā” apstiprināšanu</w:t>
      </w:r>
    </w:p>
    <w:p w14:paraId="4988F457" w14:textId="77777777" w:rsidR="00EE2D16" w:rsidRPr="00983F78" w:rsidRDefault="00EE2D16" w:rsidP="00EE2D16">
      <w:pPr>
        <w:ind w:right="-568"/>
        <w:jc w:val="center"/>
        <w:rPr>
          <w:color w:val="000000"/>
        </w:rPr>
      </w:pPr>
    </w:p>
    <w:p w14:paraId="26129396" w14:textId="77777777" w:rsidR="00EE2D16" w:rsidRPr="00983F78" w:rsidRDefault="00EE2D16" w:rsidP="00EE2D16">
      <w:pPr>
        <w:ind w:firstLine="720"/>
        <w:jc w:val="both"/>
      </w:pPr>
      <w:r w:rsidRPr="00983F78">
        <w:t xml:space="preserve">Dobeles novada dome izskatot iesniegto lēmuma projektu ““Grozījumi Dobeles novada pašvaldības institūciju amatpersonu un darbinieku atlīdzības nolikumā” konstatēja, ka 2022.gada 1.jūlijā spēkā stājās vairāki normatīvie akti, kuri nosaka amatpersonu un darbinieku atlīdzību Valsts un pašvaldību institūciju amatpersonu un darbinieku atlīdzības likuma 3.panta izpratnē, proti, Grozījumi Valsts un pašvaldību institūciju amatpersonu un darbinieku atlīdzības likumā, kā arī </w:t>
      </w:r>
      <w:r w:rsidRPr="00983F78">
        <w:rPr>
          <w:color w:val="000000"/>
        </w:rPr>
        <w:t>Ministru kabineta 2022.gada 26.aprīļa  noteikumi Nr.</w:t>
      </w:r>
      <w:r w:rsidRPr="00983F78">
        <w:rPr>
          <w:color w:val="000000" w:themeColor="text1"/>
        </w:rPr>
        <w:t xml:space="preserve">262 „ </w:t>
      </w:r>
      <w:hyperlink r:id="rId8" w:tgtFrame="_blank" w:history="1">
        <w:r w:rsidRPr="00983F78">
          <w:rPr>
            <w:rStyle w:val="Hyperlink"/>
            <w:color w:val="000000" w:themeColor="text1"/>
            <w:u w:val="none"/>
          </w:rPr>
          <w:t>Valsts un pašvaldību institūciju amatu katalogs</w:t>
        </w:r>
      </w:hyperlink>
      <w:r w:rsidRPr="00983F78">
        <w:rPr>
          <w:color w:val="000000" w:themeColor="text1"/>
        </w:rPr>
        <w:t>, amatu klasifikācijas un amatu apraksta izstrādāšanas kārtība” un</w:t>
      </w:r>
      <w:r w:rsidRPr="00983F78">
        <w:rPr>
          <w:color w:val="000000"/>
        </w:rPr>
        <w:t xml:space="preserve"> Ministru kabineta 2022.gada 21.jūnija noteikumi Nr.361 „</w:t>
      </w:r>
      <w:r w:rsidRPr="00983F78">
        <w:rPr>
          <w:shd w:val="clear" w:color="auto" w:fill="FFFFFF"/>
        </w:rPr>
        <w:t xml:space="preserve"> </w:t>
      </w:r>
      <w:r w:rsidRPr="00983F78">
        <w:t>Noteikumi par valsts institūciju amatpersonu un darbinieku darba samaksu un tās noteikšanas kārtību, kā arī par profesijām un specifiskajām jomām, kurām piemērojams tirgus koeficients”, ievērojot minēto nepieciešams nodrošināt Dobeles novada pašvaldības institūciju amatpersonu un darbinieku atlīdzības nolikuma atbilstību augstāka juridiskā spēkā tiesību aktiem.</w:t>
      </w:r>
    </w:p>
    <w:p w14:paraId="31B49D23" w14:textId="77777777" w:rsidR="00EE2D16" w:rsidRDefault="00EE2D16" w:rsidP="00EE2D16">
      <w:pPr>
        <w:ind w:firstLine="720"/>
        <w:jc w:val="both"/>
        <w:rPr>
          <w:color w:val="000000"/>
        </w:rPr>
      </w:pPr>
      <w:r w:rsidRPr="00983F78">
        <w:t xml:space="preserve">Saskaņā ar </w:t>
      </w:r>
      <w:r w:rsidRPr="00983F78">
        <w:rPr>
          <w:color w:val="000000"/>
        </w:rPr>
        <w:t>Valsts pārvaldes iekārtas likuma 73.panta pirmās daļas 1.punktu, likuma</w:t>
      </w:r>
      <w:r w:rsidRPr="00983F78">
        <w:rPr>
          <w:color w:val="000000"/>
        </w:rPr>
        <w:br/>
        <w:t>„Par pašvaldībām” 21.panta pirmās daļas 12., 13.punktu, 41.panta pirmās daļas 2.punktu, 63.panta trešo daļu, Pašvaldības domes deputāta statusa likuma 14.panta piekto daļu, Valsts un pašvaldību institūciju amatpersonu un darbinieku atlīdzības likuma 3.panta ceturtās daļas 2., 3., 4., 5., 8.punktu, 5.panta otro daļu, 14.panta pirmo daļu, divpadsmito daļu, trīspadsmito daļu, 15.panta trešo daļu, 16.panta otro daļu, 20.pantu, 42.panta devīto daļu, Ministru kabineta 2022.gada 26.aprīļa  noteikumiem Nr.</w:t>
      </w:r>
      <w:r w:rsidRPr="00983F78">
        <w:rPr>
          <w:color w:val="000000" w:themeColor="text1"/>
        </w:rPr>
        <w:t xml:space="preserve">262 „ </w:t>
      </w:r>
      <w:hyperlink r:id="rId9" w:tgtFrame="_blank" w:history="1">
        <w:r w:rsidRPr="00983F78">
          <w:rPr>
            <w:rStyle w:val="Hyperlink"/>
            <w:color w:val="000000" w:themeColor="text1"/>
            <w:u w:val="none"/>
          </w:rPr>
          <w:t>Valsts un pašvaldību institūciju amatu katalogs</w:t>
        </w:r>
      </w:hyperlink>
      <w:r w:rsidRPr="00983F78">
        <w:rPr>
          <w:color w:val="000000" w:themeColor="text1"/>
        </w:rPr>
        <w:t xml:space="preserve">, amatu klasifikācijas un amatu apraksta izstrādāšanas kārtība”, </w:t>
      </w:r>
      <w:r w:rsidRPr="00983F78">
        <w:rPr>
          <w:color w:val="000000"/>
        </w:rPr>
        <w:t>Ministru kabineta 2010.gada 21.jūnija noteikumiem Nr.565 „Noteikumi par valsts un pašvaldību institūciju amatpersonu un darbinieku sociālajām garantijām”, Ministru kabineta 2016.gada 5.jūlija noteikumiem Nr.445 „Pedagogu darba samaksas noteikumi”, Ministru kabineta 2022.gada 21.jūnija noteikumiem Nr.361 „</w:t>
      </w:r>
      <w:r w:rsidRPr="00983F78">
        <w:rPr>
          <w:shd w:val="clear" w:color="auto" w:fill="FFFFFF"/>
        </w:rPr>
        <w:t xml:space="preserve"> </w:t>
      </w:r>
      <w:r w:rsidRPr="00983F78">
        <w:t xml:space="preserve">Noteikumi par valsts institūciju amatpersonu un darbinieku darba samaksu un tās noteikšanas kārtību, kā arī par profesijām un specifiskajām jomām, kurām piemērojams tirgus koeficients”, </w:t>
      </w:r>
      <w:bookmarkStart w:id="0" w:name="_Hlk109986627"/>
      <w:r w:rsidRPr="00983F78">
        <w:rPr>
          <w:bCs/>
          <w:color w:val="000000"/>
        </w:rPr>
        <w:t xml:space="preserve">atklāti balsojot: </w:t>
      </w:r>
      <w:bookmarkStart w:id="1" w:name="_Hlk110344016"/>
      <w:r>
        <w:t xml:space="preserve">PAR – 13 (Sarmīte Dude, Ainārs Meiers, Gints </w:t>
      </w:r>
      <w:proofErr w:type="spellStart"/>
      <w:r>
        <w:t>Kaminskis</w:t>
      </w:r>
      <w:proofErr w:type="spellEnd"/>
      <w:r>
        <w:t xml:space="preserve">, Linda </w:t>
      </w:r>
      <w:proofErr w:type="spellStart"/>
      <w:r>
        <w:t>Karloviča</w:t>
      </w:r>
      <w:proofErr w:type="spellEnd"/>
      <w:r>
        <w:t xml:space="preserve">, Edgars Laimiņš, Sintija Liekniņa, Sanita </w:t>
      </w:r>
      <w:proofErr w:type="spellStart"/>
      <w:r>
        <w:t>Olševska</w:t>
      </w:r>
      <w:proofErr w:type="spellEnd"/>
      <w:r>
        <w:t xml:space="preserve">, Andris Podvinskis, Dace Reinika, Guntis Safranovičs, Andrejs Spridzāns, Ivars </w:t>
      </w:r>
      <w:proofErr w:type="spellStart"/>
      <w:r>
        <w:t>Stanga</w:t>
      </w:r>
      <w:proofErr w:type="spellEnd"/>
      <w:r>
        <w:t xml:space="preserve">, Indra </w:t>
      </w:r>
      <w:proofErr w:type="spellStart"/>
      <w:r>
        <w:t>Špela</w:t>
      </w:r>
      <w:proofErr w:type="spellEnd"/>
      <w:r>
        <w:t xml:space="preserve">), </w:t>
      </w:r>
      <w:r w:rsidRPr="00CE73C3">
        <w:rPr>
          <w:lang w:eastAsia="en-GB"/>
        </w:rPr>
        <w:t>PRET –</w:t>
      </w:r>
      <w:r>
        <w:rPr>
          <w:lang w:eastAsia="en-GB"/>
        </w:rPr>
        <w:t xml:space="preserve"> nav</w:t>
      </w:r>
      <w:r w:rsidRPr="00CE73C3">
        <w:rPr>
          <w:lang w:eastAsia="en-GB"/>
        </w:rPr>
        <w:t xml:space="preserve">, ATTURAS </w:t>
      </w:r>
      <w:r>
        <w:rPr>
          <w:lang w:eastAsia="en-GB"/>
        </w:rPr>
        <w:t>–</w:t>
      </w:r>
      <w:r w:rsidRPr="00CE73C3">
        <w:rPr>
          <w:lang w:eastAsia="en-GB"/>
        </w:rPr>
        <w:t xml:space="preserve"> </w:t>
      </w:r>
      <w:r>
        <w:rPr>
          <w:lang w:eastAsia="en-GB"/>
        </w:rPr>
        <w:t>4 (</w:t>
      </w:r>
      <w:r>
        <w:t>Kristīne Briede,</w:t>
      </w:r>
      <w:r w:rsidRPr="002F05BB">
        <w:t xml:space="preserve"> </w:t>
      </w:r>
      <w:r>
        <w:t>Viesturs Reinfelds</w:t>
      </w:r>
      <w:r w:rsidRPr="00CE73C3">
        <w:rPr>
          <w:lang w:eastAsia="en-GB"/>
        </w:rPr>
        <w:t>,</w:t>
      </w:r>
      <w:r>
        <w:rPr>
          <w:lang w:eastAsia="en-GB"/>
        </w:rPr>
        <w:t xml:space="preserve"> </w:t>
      </w:r>
      <w:r>
        <w:t>Māris Feldmanis,</w:t>
      </w:r>
      <w:r w:rsidRPr="005E0F9B">
        <w:t xml:space="preserve"> </w:t>
      </w:r>
      <w:r>
        <w:t xml:space="preserve">Edgars </w:t>
      </w:r>
      <w:proofErr w:type="spellStart"/>
      <w:r>
        <w:t>Gaigalis</w:t>
      </w:r>
      <w:proofErr w:type="spellEnd"/>
      <w:r>
        <w:t xml:space="preserve">), </w:t>
      </w:r>
      <w:bookmarkEnd w:id="1"/>
      <w:r w:rsidRPr="00983F78">
        <w:rPr>
          <w:color w:val="000000"/>
        </w:rPr>
        <w:t>Dobeles novada dome NOLEMJ:</w:t>
      </w:r>
      <w:bookmarkEnd w:id="0"/>
    </w:p>
    <w:p w14:paraId="78FD11AA" w14:textId="77777777" w:rsidR="00EE2D16" w:rsidRDefault="00EE2D16" w:rsidP="00EE2D16">
      <w:pPr>
        <w:ind w:firstLine="720"/>
        <w:jc w:val="both"/>
        <w:rPr>
          <w:color w:val="000000"/>
        </w:rPr>
      </w:pPr>
    </w:p>
    <w:p w14:paraId="1F9BB1AD" w14:textId="77777777" w:rsidR="00EE2D16" w:rsidRDefault="00EE2D16" w:rsidP="00EE2D16">
      <w:pPr>
        <w:ind w:firstLine="720"/>
        <w:jc w:val="both"/>
        <w:rPr>
          <w:color w:val="000000"/>
        </w:rPr>
      </w:pPr>
    </w:p>
    <w:p w14:paraId="32FC0AB2" w14:textId="77777777" w:rsidR="00EE2D16" w:rsidRDefault="00EE2D16" w:rsidP="00EE2D16">
      <w:pPr>
        <w:ind w:firstLine="720"/>
        <w:jc w:val="both"/>
        <w:rPr>
          <w:color w:val="000000"/>
        </w:rPr>
      </w:pPr>
    </w:p>
    <w:p w14:paraId="0A332822" w14:textId="77777777" w:rsidR="00EE2D16" w:rsidRPr="00983F78" w:rsidRDefault="00EE2D16" w:rsidP="00EE2D16">
      <w:pPr>
        <w:ind w:firstLine="720"/>
        <w:jc w:val="both"/>
        <w:rPr>
          <w:color w:val="000000" w:themeColor="text1"/>
        </w:rPr>
      </w:pPr>
    </w:p>
    <w:p w14:paraId="67974F2E" w14:textId="77777777" w:rsidR="00EE2D16" w:rsidRPr="00983F78" w:rsidRDefault="00EE2D16" w:rsidP="00EE2D16">
      <w:pPr>
        <w:pStyle w:val="ListParagraph"/>
        <w:ind w:left="0" w:right="-46"/>
        <w:jc w:val="both"/>
      </w:pPr>
      <w:r w:rsidRPr="00983F78">
        <w:t>Apstiprināt</w:t>
      </w:r>
      <w:r w:rsidRPr="00983F78">
        <w:rPr>
          <w:bCs/>
        </w:rPr>
        <w:t xml:space="preserve"> nolikumu “Grozījumi </w:t>
      </w:r>
      <w:r w:rsidRPr="00983F78">
        <w:rPr>
          <w:color w:val="000000"/>
        </w:rPr>
        <w:t xml:space="preserve">Dobeles novada pašvaldības institūciju amatpersonu un darbinieku atlīdzības nolikumā” </w:t>
      </w:r>
      <w:r w:rsidRPr="00983F78">
        <w:t>(lēmuma pielikumā), nosakot, ka nolikums stājas spēkā 2022.gada 1.augustā.</w:t>
      </w:r>
    </w:p>
    <w:p w14:paraId="32C585B5" w14:textId="77777777" w:rsidR="00EE2D16" w:rsidRPr="00983F78" w:rsidRDefault="00EE2D16" w:rsidP="00EE2D16">
      <w:pPr>
        <w:pStyle w:val="ListParagraph"/>
        <w:ind w:left="0" w:right="-46" w:firstLine="284"/>
        <w:jc w:val="both"/>
      </w:pPr>
    </w:p>
    <w:p w14:paraId="5EA73D1B" w14:textId="77777777" w:rsidR="00EE2D16" w:rsidRPr="00983F78" w:rsidRDefault="00EE2D16" w:rsidP="00EE2D16">
      <w:pPr>
        <w:pStyle w:val="ListParagraph"/>
        <w:ind w:right="-46"/>
        <w:jc w:val="both"/>
      </w:pPr>
    </w:p>
    <w:p w14:paraId="5F69F708" w14:textId="5CF174B0" w:rsidR="000B137E" w:rsidRDefault="00EE2D16" w:rsidP="00EE2D16">
      <w:r w:rsidRPr="00983F78">
        <w:t>Domes priekšsēdētāja vietnieks</w:t>
      </w:r>
      <w:r w:rsidRPr="00983F78">
        <w:tab/>
      </w:r>
      <w:r w:rsidRPr="00983F78">
        <w:tab/>
      </w:r>
      <w:r w:rsidRPr="00983F78">
        <w:tab/>
      </w:r>
      <w:r w:rsidRPr="00983F78">
        <w:tab/>
      </w:r>
      <w:r w:rsidRPr="00983F78">
        <w:tab/>
      </w:r>
      <w:r w:rsidRPr="00983F78">
        <w:tab/>
        <w:t>G.Safranovičs</w:t>
      </w:r>
    </w:p>
    <w:p w14:paraId="361671DC" w14:textId="77777777" w:rsidR="000B137E" w:rsidRDefault="000B137E">
      <w:pPr>
        <w:spacing w:after="160" w:line="259" w:lineRule="auto"/>
      </w:pPr>
      <w:r>
        <w:br w:type="page"/>
      </w:r>
    </w:p>
    <w:p w14:paraId="5B64FB6F" w14:textId="2160CB69" w:rsidR="000B137E" w:rsidRDefault="000B137E" w:rsidP="000B137E">
      <w:pPr>
        <w:tabs>
          <w:tab w:val="left" w:pos="-24212"/>
        </w:tabs>
        <w:jc w:val="center"/>
        <w:rPr>
          <w:sz w:val="20"/>
          <w:szCs w:val="20"/>
        </w:rPr>
      </w:pPr>
      <w:r>
        <w:rPr>
          <w:noProof/>
          <w:sz w:val="20"/>
          <w:szCs w:val="20"/>
        </w:rPr>
        <w:lastRenderedPageBreak/>
        <w:drawing>
          <wp:inline distT="0" distB="0" distL="0" distR="0" wp14:anchorId="274D4BE3" wp14:editId="70D11D5F">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0EC576" w14:textId="77777777" w:rsidR="000B137E" w:rsidRDefault="000B137E" w:rsidP="000B137E">
      <w:pPr>
        <w:pStyle w:val="Header"/>
        <w:jc w:val="center"/>
        <w:rPr>
          <w:sz w:val="20"/>
        </w:rPr>
      </w:pPr>
      <w:r>
        <w:rPr>
          <w:sz w:val="20"/>
        </w:rPr>
        <w:t>LATVIJAS REPUBLIKA</w:t>
      </w:r>
    </w:p>
    <w:p w14:paraId="6DBA2E89" w14:textId="77777777" w:rsidR="000B137E" w:rsidRDefault="000B137E" w:rsidP="000B137E">
      <w:pPr>
        <w:pStyle w:val="Header"/>
        <w:jc w:val="center"/>
        <w:rPr>
          <w:b/>
          <w:sz w:val="32"/>
          <w:szCs w:val="32"/>
        </w:rPr>
      </w:pPr>
      <w:r>
        <w:rPr>
          <w:b/>
          <w:sz w:val="32"/>
          <w:szCs w:val="32"/>
        </w:rPr>
        <w:t>DOBELES NOVADA DOME</w:t>
      </w:r>
    </w:p>
    <w:p w14:paraId="1A98227A" w14:textId="77777777" w:rsidR="000B137E" w:rsidRDefault="000B137E" w:rsidP="000B137E">
      <w:pPr>
        <w:pStyle w:val="Header"/>
        <w:jc w:val="center"/>
        <w:rPr>
          <w:sz w:val="16"/>
          <w:szCs w:val="16"/>
        </w:rPr>
      </w:pPr>
      <w:r>
        <w:rPr>
          <w:sz w:val="16"/>
          <w:szCs w:val="16"/>
        </w:rPr>
        <w:t>Brīvības iela 17, Dobele, Dobeles novads, LV-3701</w:t>
      </w:r>
    </w:p>
    <w:p w14:paraId="596F5A97" w14:textId="77777777" w:rsidR="000B137E" w:rsidRDefault="000B137E" w:rsidP="000B137E">
      <w:pPr>
        <w:pStyle w:val="Header"/>
        <w:pBdr>
          <w:bottom w:val="double" w:sz="6" w:space="1" w:color="auto"/>
        </w:pBdr>
        <w:jc w:val="center"/>
        <w:rPr>
          <w:color w:val="000000"/>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1FF33C82" w14:textId="77777777" w:rsidR="000B137E" w:rsidRDefault="000B137E" w:rsidP="000B137E">
      <w:pPr>
        <w:tabs>
          <w:tab w:val="left" w:pos="-24212"/>
        </w:tabs>
        <w:jc w:val="center"/>
        <w:rPr>
          <w:color w:val="000000"/>
        </w:rPr>
      </w:pPr>
    </w:p>
    <w:p w14:paraId="5164FF0C" w14:textId="77777777" w:rsidR="000B137E" w:rsidRDefault="000B137E" w:rsidP="000B137E">
      <w:pPr>
        <w:jc w:val="center"/>
        <w:rPr>
          <w:b/>
        </w:rPr>
      </w:pPr>
    </w:p>
    <w:p w14:paraId="2A995590" w14:textId="77777777" w:rsidR="000B137E" w:rsidRDefault="000B137E" w:rsidP="000B137E">
      <w:pPr>
        <w:jc w:val="center"/>
        <w:rPr>
          <w:color w:val="000000"/>
          <w:lang w:val="sv-SE"/>
        </w:rPr>
      </w:pPr>
    </w:p>
    <w:p w14:paraId="577445DC" w14:textId="77777777" w:rsidR="000B137E" w:rsidRDefault="000B137E" w:rsidP="000B137E">
      <w:pPr>
        <w:jc w:val="right"/>
        <w:rPr>
          <w:color w:val="000000"/>
          <w:lang w:val="sv-SE"/>
        </w:rPr>
      </w:pPr>
      <w:r>
        <w:rPr>
          <w:color w:val="000000"/>
          <w:lang w:val="sv-SE"/>
        </w:rPr>
        <w:t>APSTIPRINĀTS</w:t>
      </w:r>
    </w:p>
    <w:p w14:paraId="22A8ECE1" w14:textId="77777777" w:rsidR="000B137E" w:rsidRDefault="000B137E" w:rsidP="000B137E">
      <w:pPr>
        <w:jc w:val="right"/>
        <w:rPr>
          <w:color w:val="000000"/>
        </w:rPr>
      </w:pPr>
      <w:r>
        <w:rPr>
          <w:color w:val="000000"/>
        </w:rPr>
        <w:t>ar Dobeles novada domes</w:t>
      </w:r>
    </w:p>
    <w:p w14:paraId="4594330D" w14:textId="77777777" w:rsidR="000B137E" w:rsidRDefault="000B137E" w:rsidP="000B137E">
      <w:pPr>
        <w:jc w:val="right"/>
        <w:rPr>
          <w:color w:val="000000"/>
        </w:rPr>
      </w:pPr>
      <w:r>
        <w:rPr>
          <w:color w:val="000000"/>
        </w:rPr>
        <w:t>2022.gada 28.jūlija</w:t>
      </w:r>
    </w:p>
    <w:p w14:paraId="61776638" w14:textId="77777777" w:rsidR="000B137E" w:rsidRDefault="000B137E" w:rsidP="000B137E">
      <w:pPr>
        <w:jc w:val="right"/>
      </w:pPr>
      <w:r>
        <w:rPr>
          <w:color w:val="000000"/>
        </w:rPr>
        <w:t>lēmumu Nr.349/13</w:t>
      </w:r>
    </w:p>
    <w:p w14:paraId="3C994CC8" w14:textId="77777777" w:rsidR="000B137E" w:rsidRDefault="000B137E" w:rsidP="000B137E">
      <w:pPr>
        <w:pStyle w:val="Default"/>
        <w:jc w:val="right"/>
        <w:rPr>
          <w:lang w:val="lv-LV"/>
        </w:rPr>
      </w:pPr>
    </w:p>
    <w:p w14:paraId="602377B6" w14:textId="77777777" w:rsidR="000B137E" w:rsidRDefault="000B137E" w:rsidP="000B137E">
      <w:pPr>
        <w:pStyle w:val="Default"/>
        <w:jc w:val="right"/>
      </w:pPr>
    </w:p>
    <w:p w14:paraId="4BB45FE7" w14:textId="77777777" w:rsidR="000B137E" w:rsidRDefault="000B137E" w:rsidP="000B137E">
      <w:pPr>
        <w:ind w:left="-567" w:right="-483"/>
        <w:jc w:val="center"/>
        <w:rPr>
          <w:color w:val="000000"/>
        </w:rPr>
      </w:pPr>
      <w:r>
        <w:rPr>
          <w:b/>
          <w:bCs/>
          <w:color w:val="000000"/>
        </w:rPr>
        <w:t>Nolikums “Grozījumi Dobeles novada pašvaldības institūciju amatpersonu</w:t>
      </w:r>
      <w:r>
        <w:rPr>
          <w:b/>
          <w:bCs/>
          <w:color w:val="000000"/>
        </w:rPr>
        <w:br/>
        <w:t>un darbinieku atlīdzības nolikumā”</w:t>
      </w:r>
      <w:r>
        <w:rPr>
          <w:color w:val="000000"/>
        </w:rPr>
        <w:br/>
      </w:r>
    </w:p>
    <w:p w14:paraId="61CFF223" w14:textId="77777777" w:rsidR="000B137E" w:rsidRDefault="000B137E" w:rsidP="000B137E">
      <w:pPr>
        <w:jc w:val="both"/>
        <w:rPr>
          <w:color w:val="000000"/>
        </w:rPr>
      </w:pPr>
      <w:r>
        <w:rPr>
          <w:color w:val="000000"/>
        </w:rPr>
        <w:t>Izdots saskaņā ar Valsts pārvaldes iekārtas likuma 73.panta pirmās daļas 1.punktu, likuma „Par pašvaldībām” 21.panta pirmās daļas 12., 13.punktu, 41.panta pirmās daļas 2.punktu, 63.panta trešo daļu, Pašvaldības domes deputāta statusa likuma 14. panta piekto daļu, Valsts un pašvaldību institūciju amatpersonu un darbinieku atlīdzības likuma 3.panta ceturtās daļas 2., 3., 4., 5., 8.punktu, 5.panta otro daļu, 14.panta pirmo daļu, divpadsmito daļu, trīspadsmito daļu, 15.panta trešo daļu, 16.panta otro daļu, 20.pantu, 42.panta devīto daļu, Ministru kabineta 2022.gada 26.aprīļa</w:t>
      </w:r>
      <w:proofErr w:type="gramStart"/>
      <w:r>
        <w:rPr>
          <w:color w:val="000000"/>
        </w:rPr>
        <w:t xml:space="preserve">  </w:t>
      </w:r>
      <w:proofErr w:type="gramEnd"/>
      <w:r>
        <w:rPr>
          <w:color w:val="000000"/>
        </w:rPr>
        <w:t>noteikumiem Nr.</w:t>
      </w:r>
      <w:r>
        <w:rPr>
          <w:color w:val="000000" w:themeColor="text1"/>
        </w:rPr>
        <w:t xml:space="preserve">262 „ </w:t>
      </w:r>
      <w:hyperlink r:id="rId11" w:tgtFrame="_blank" w:history="1">
        <w:r>
          <w:rPr>
            <w:rStyle w:val="Hyperlink"/>
            <w:color w:val="000000" w:themeColor="text1"/>
          </w:rPr>
          <w:t>Valsts un pašvaldību institūciju amatu katalogs</w:t>
        </w:r>
      </w:hyperlink>
      <w:r>
        <w:rPr>
          <w:color w:val="000000" w:themeColor="text1"/>
        </w:rPr>
        <w:t xml:space="preserve">, amatu klasifikācijas un amatu apraksta izstrādāšanas kārtība”, </w:t>
      </w:r>
      <w:r>
        <w:rPr>
          <w:color w:val="000000"/>
        </w:rPr>
        <w:t>Ministru kabineta 2010.gada 21.jūnija noteikumiem Nr.565 „Noteikumi par valsts un pašvaldību institūciju amatpersonu un darbinieku sociālajām garantijām”, Ministru kabineta 2016.gada 5.jūlija noteikumiem Nr.445 „Pedagogu darba samaksas noteikumi”, Ministru kabineta 2022.gada 21.jūnija noteikumiem Nr.361 „</w:t>
      </w:r>
      <w:r>
        <w:rPr>
          <w:shd w:val="clear" w:color="auto" w:fill="FFFFFF"/>
        </w:rPr>
        <w:t xml:space="preserve"> </w:t>
      </w:r>
      <w:r>
        <w:t>Noteikumi par valsts institūciju amatpersonu un darbinieku darba samaksu un tās noteikšanas kārtību, kā arī par profesijām un specifiskajām jomām, kurām piemērojams tirgus koeficients”.</w:t>
      </w:r>
    </w:p>
    <w:p w14:paraId="01892506" w14:textId="77777777" w:rsidR="000B137E" w:rsidRDefault="000B137E" w:rsidP="000B137E">
      <w:pPr>
        <w:jc w:val="both"/>
      </w:pPr>
    </w:p>
    <w:p w14:paraId="055E17C6" w14:textId="77777777" w:rsidR="000B137E" w:rsidRDefault="000B137E" w:rsidP="000B137E">
      <w:pPr>
        <w:jc w:val="both"/>
        <w:rPr>
          <w:color w:val="000000"/>
        </w:rPr>
      </w:pPr>
      <w:r>
        <w:t xml:space="preserve">Izdarīt </w:t>
      </w:r>
      <w:r>
        <w:rPr>
          <w:color w:val="000000"/>
        </w:rPr>
        <w:t>Dobeles novada pašvaldības institūciju amatpersonu un darbinieku atlīdzības nolikumā (turpmāk tekstā – Nolikums) šādus grozījumus:</w:t>
      </w:r>
    </w:p>
    <w:p w14:paraId="05C2AA13" w14:textId="77777777" w:rsidR="000B137E" w:rsidRDefault="000B137E" w:rsidP="000B137E">
      <w:pPr>
        <w:jc w:val="both"/>
        <w:rPr>
          <w:color w:val="000000"/>
        </w:rPr>
      </w:pPr>
    </w:p>
    <w:p w14:paraId="18036125" w14:textId="77777777" w:rsidR="000B137E" w:rsidRDefault="000B137E" w:rsidP="000B137E">
      <w:pPr>
        <w:pStyle w:val="ListParagraph"/>
        <w:numPr>
          <w:ilvl w:val="0"/>
          <w:numId w:val="1"/>
        </w:numPr>
        <w:ind w:left="0" w:firstLine="284"/>
        <w:jc w:val="both"/>
        <w:rPr>
          <w:color w:val="000000"/>
        </w:rPr>
      </w:pPr>
      <w:r>
        <w:rPr>
          <w:color w:val="000000"/>
        </w:rPr>
        <w:t>Svītrot Nolikuma 10.punkta otro teikumu.</w:t>
      </w:r>
    </w:p>
    <w:p w14:paraId="54B29285" w14:textId="77777777" w:rsidR="000B137E" w:rsidRDefault="000B137E" w:rsidP="000B137E">
      <w:pPr>
        <w:pStyle w:val="ListParagraph"/>
        <w:widowControl/>
        <w:numPr>
          <w:ilvl w:val="0"/>
          <w:numId w:val="1"/>
        </w:numPr>
        <w:suppressAutoHyphens w:val="0"/>
        <w:ind w:hanging="436"/>
        <w:jc w:val="both"/>
        <w:rPr>
          <w:bCs/>
        </w:rPr>
      </w:pPr>
      <w:r>
        <w:t>Izteikt nolikuma 14.punktu šādā redakcijā:</w:t>
      </w:r>
    </w:p>
    <w:p w14:paraId="61ABEB08" w14:textId="77777777" w:rsidR="000B137E" w:rsidRDefault="000B137E" w:rsidP="000B137E">
      <w:pPr>
        <w:jc w:val="both"/>
        <w:rPr>
          <w:color w:val="000000"/>
        </w:rPr>
      </w:pPr>
      <w:r>
        <w:t xml:space="preserve">“14. </w:t>
      </w:r>
      <w:r>
        <w:rPr>
          <w:color w:val="000000"/>
        </w:rPr>
        <w:t>Domes priekšsēdētājam un domes priekšsēdētāja vietniekam izmaksā pabalstu sakarā ar ģimenes locekļa:</w:t>
      </w:r>
    </w:p>
    <w:p w14:paraId="1B646F45" w14:textId="77777777" w:rsidR="000B137E" w:rsidRDefault="000B137E" w:rsidP="000B137E">
      <w:pPr>
        <w:jc w:val="both"/>
      </w:pPr>
      <w:r>
        <w:rPr>
          <w:color w:val="000000"/>
        </w:rPr>
        <w:t>14.1.</w:t>
      </w:r>
      <w:proofErr w:type="gramStart"/>
      <w:r>
        <w:rPr>
          <w:color w:val="000000"/>
        </w:rPr>
        <w:t xml:space="preserve">  </w:t>
      </w:r>
      <w:proofErr w:type="gramEnd"/>
      <w:r>
        <w:rPr>
          <w:color w:val="000000"/>
        </w:rPr>
        <w:t>laulātā, bērna, vecāku, adoptētāja vai adoptētā, vai apgādājamā nāvi vienas minimālās mēneša darba algas apmērā</w:t>
      </w:r>
      <w:r>
        <w:t>;</w:t>
      </w:r>
    </w:p>
    <w:p w14:paraId="770D69FA" w14:textId="77777777" w:rsidR="000B137E" w:rsidRDefault="000B137E" w:rsidP="000B137E">
      <w:pPr>
        <w:jc w:val="both"/>
      </w:pPr>
      <w:r>
        <w:t>14.2. mazbērna, vecvecāku, brāļa, māsas, pusbrāļa vai pusmāsas nāvi EUR 50,00 apmērā.”.</w:t>
      </w:r>
    </w:p>
    <w:p w14:paraId="58A799B3" w14:textId="77777777" w:rsidR="000B137E" w:rsidRDefault="000B137E" w:rsidP="000B137E">
      <w:pPr>
        <w:pStyle w:val="ListParagraph"/>
        <w:numPr>
          <w:ilvl w:val="0"/>
          <w:numId w:val="1"/>
        </w:numPr>
        <w:ind w:left="0" w:firstLine="284"/>
        <w:jc w:val="both"/>
        <w:rPr>
          <w:color w:val="000000"/>
        </w:rPr>
      </w:pPr>
      <w:r>
        <w:rPr>
          <w:color w:val="000000"/>
        </w:rPr>
        <w:t>Izteikt Nolikuma 24.punktu šādā redakcijā:</w:t>
      </w:r>
    </w:p>
    <w:p w14:paraId="30C047DD" w14:textId="77777777" w:rsidR="000B137E" w:rsidRDefault="000B137E" w:rsidP="000B137E">
      <w:pPr>
        <w:ind w:firstLine="284"/>
        <w:jc w:val="both"/>
        <w:rPr>
          <w:color w:val="000000"/>
        </w:rPr>
      </w:pPr>
      <w:r>
        <w:rPr>
          <w:color w:val="000000"/>
        </w:rPr>
        <w:t>“24. Darbinieku mēnešalgas apmēru nosaka Atlīdzības likumā noteiktajā kārtībā, klasificējot attiecīgo amatu atbilstoši Ministru kabineta 2022.gada 26.aprīļa</w:t>
      </w:r>
      <w:proofErr w:type="gramStart"/>
      <w:r>
        <w:rPr>
          <w:color w:val="000000"/>
        </w:rPr>
        <w:t xml:space="preserve">  </w:t>
      </w:r>
      <w:proofErr w:type="gramEnd"/>
      <w:r>
        <w:rPr>
          <w:color w:val="000000"/>
        </w:rPr>
        <w:t>noteikumiem Nr.</w:t>
      </w:r>
      <w:r>
        <w:rPr>
          <w:color w:val="000000" w:themeColor="text1"/>
        </w:rPr>
        <w:t>262 „</w:t>
      </w:r>
      <w:hyperlink r:id="rId12" w:tgtFrame="_blank" w:history="1">
        <w:r>
          <w:rPr>
            <w:rStyle w:val="Hyperlink"/>
            <w:color w:val="000000" w:themeColor="text1"/>
          </w:rPr>
          <w:t>Valsts un pašvaldību institūciju amatu katalogs</w:t>
        </w:r>
      </w:hyperlink>
      <w:r>
        <w:rPr>
          <w:color w:val="000000" w:themeColor="text1"/>
        </w:rPr>
        <w:t>, amatu klasifikācijas un amatu apraksta izstrādāšanas kārtība”,</w:t>
      </w:r>
      <w:r>
        <w:rPr>
          <w:color w:val="000000"/>
        </w:rPr>
        <w:t>” (turpmāk - Amatu katalogs) un ņemot vērā amatam atbilstošo mēnešalgu grupu saskaņā ar Ministru kabineta 2022.gada 21.jūnija noteikumiem Nr.361 „</w:t>
      </w:r>
      <w:r>
        <w:t xml:space="preserve">Noteikumi par valsts institūciju amatpersonu un darbinieku darba samaksu un tās </w:t>
      </w:r>
      <w:r>
        <w:lastRenderedPageBreak/>
        <w:t>noteikšanas kārtību, kā arī par profesijām un specifiskajām jomām, kurām piemērojams tirgus koeficients”</w:t>
      </w:r>
      <w:r>
        <w:rPr>
          <w:color w:val="000000"/>
        </w:rPr>
        <w:t>.”.</w:t>
      </w:r>
    </w:p>
    <w:p w14:paraId="5B91A8F9" w14:textId="77777777" w:rsidR="000B137E" w:rsidRDefault="000B137E" w:rsidP="000B137E">
      <w:pPr>
        <w:pStyle w:val="ListParagraph"/>
        <w:numPr>
          <w:ilvl w:val="0"/>
          <w:numId w:val="1"/>
        </w:numPr>
        <w:ind w:left="0" w:firstLine="284"/>
        <w:jc w:val="both"/>
        <w:rPr>
          <w:color w:val="000000"/>
        </w:rPr>
      </w:pPr>
      <w:r>
        <w:rPr>
          <w:color w:val="000000"/>
        </w:rPr>
        <w:t>Svītrot Nolikuma 27.1. apakšpunktu.</w:t>
      </w:r>
    </w:p>
    <w:p w14:paraId="7E0C416E" w14:textId="77777777" w:rsidR="000B137E" w:rsidRDefault="000B137E" w:rsidP="000B137E">
      <w:pPr>
        <w:pStyle w:val="ListParagraph"/>
        <w:numPr>
          <w:ilvl w:val="0"/>
          <w:numId w:val="1"/>
        </w:numPr>
        <w:ind w:left="0" w:firstLine="284"/>
        <w:jc w:val="both"/>
        <w:rPr>
          <w:color w:val="000000"/>
        </w:rPr>
      </w:pPr>
      <w:r>
        <w:rPr>
          <w:color w:val="000000"/>
        </w:rPr>
        <w:t>Svītrot Nolikuma 28. punktu.</w:t>
      </w:r>
    </w:p>
    <w:p w14:paraId="37370529" w14:textId="77777777" w:rsidR="000B137E" w:rsidRDefault="000B137E" w:rsidP="000B137E">
      <w:pPr>
        <w:pStyle w:val="ListParagraph"/>
        <w:numPr>
          <w:ilvl w:val="0"/>
          <w:numId w:val="1"/>
        </w:numPr>
        <w:ind w:left="0" w:firstLine="284"/>
        <w:jc w:val="both"/>
        <w:rPr>
          <w:color w:val="000000"/>
        </w:rPr>
      </w:pPr>
      <w:r>
        <w:rPr>
          <w:color w:val="000000"/>
        </w:rPr>
        <w:t>Izteikt Nolikuma 37.punktu šādā redakcijā:</w:t>
      </w:r>
    </w:p>
    <w:p w14:paraId="54CDB475" w14:textId="77777777" w:rsidR="000B137E" w:rsidRDefault="000B137E" w:rsidP="000B137E">
      <w:pPr>
        <w:ind w:firstLine="284"/>
        <w:jc w:val="both"/>
        <w:rPr>
          <w:color w:val="000000"/>
        </w:rPr>
      </w:pPr>
      <w:r>
        <w:rPr>
          <w:color w:val="000000"/>
        </w:rPr>
        <w:t>“37. Darbiniekam (izņemot fiziskā darba veicējus) var noteikt piemaksu par nozīmīgu ieguldījumu institūcijas stratēģisko mērķu sasniegšanā, kuras apmērs mēnesī nedrīkst pārsniegt 30 % (trīsdesmit procentus) no darbiniekam noteiktās mēnešalgas. Piemaksu regulāri pārskata, izvērtējot tās nepieciešamību un pamatojumu, bet ne retāk kā reizi gadā.”.</w:t>
      </w:r>
    </w:p>
    <w:p w14:paraId="7290E00A" w14:textId="77777777" w:rsidR="000B137E" w:rsidRDefault="000B137E" w:rsidP="000B137E">
      <w:pPr>
        <w:pStyle w:val="ListParagraph"/>
        <w:numPr>
          <w:ilvl w:val="0"/>
          <w:numId w:val="1"/>
        </w:numPr>
        <w:ind w:left="0" w:firstLine="284"/>
        <w:jc w:val="both"/>
        <w:rPr>
          <w:color w:val="000000"/>
        </w:rPr>
      </w:pPr>
      <w:r>
        <w:rPr>
          <w:color w:val="000000"/>
        </w:rPr>
        <w:t>Svītrot Nolikuma 38.punktu.</w:t>
      </w:r>
    </w:p>
    <w:p w14:paraId="3AEFE348" w14:textId="77777777" w:rsidR="000B137E" w:rsidRDefault="000B137E" w:rsidP="000B137E">
      <w:pPr>
        <w:pStyle w:val="ListParagraph"/>
        <w:widowControl/>
        <w:numPr>
          <w:ilvl w:val="0"/>
          <w:numId w:val="1"/>
        </w:numPr>
        <w:suppressAutoHyphens w:val="0"/>
        <w:ind w:hanging="436"/>
        <w:jc w:val="both"/>
        <w:rPr>
          <w:bCs/>
        </w:rPr>
      </w:pPr>
      <w:r>
        <w:t>Izteikt nolikuma 55.punktu šādā redakcijā:</w:t>
      </w:r>
    </w:p>
    <w:p w14:paraId="1FEF208B" w14:textId="77777777" w:rsidR="000B137E" w:rsidRDefault="000B137E" w:rsidP="000B137E">
      <w:pPr>
        <w:ind w:firstLine="284"/>
        <w:jc w:val="both"/>
        <w:rPr>
          <w:color w:val="000000"/>
        </w:rPr>
      </w:pPr>
      <w:r>
        <w:t xml:space="preserve">“55. </w:t>
      </w:r>
      <w:r>
        <w:rPr>
          <w:color w:val="000000"/>
        </w:rPr>
        <w:t>Darbiniekam izmaksā pabalstu sakarā ar ģimenes locekļa:</w:t>
      </w:r>
    </w:p>
    <w:p w14:paraId="33C030BD" w14:textId="77777777" w:rsidR="000B137E" w:rsidRDefault="000B137E" w:rsidP="000B137E">
      <w:pPr>
        <w:jc w:val="both"/>
      </w:pPr>
      <w:r>
        <w:rPr>
          <w:color w:val="000000"/>
        </w:rPr>
        <w:t>55.1.</w:t>
      </w:r>
      <w:proofErr w:type="gramStart"/>
      <w:r>
        <w:rPr>
          <w:color w:val="000000"/>
        </w:rPr>
        <w:t xml:space="preserve">  </w:t>
      </w:r>
      <w:proofErr w:type="gramEnd"/>
      <w:r>
        <w:rPr>
          <w:color w:val="000000"/>
        </w:rPr>
        <w:t>laulātā, bērna, vecāku, adoptētāja vai adoptētā, vai apgādājamā nāvi vienas minimālās mēneša darba algas apmērā</w:t>
      </w:r>
      <w:r>
        <w:t>;</w:t>
      </w:r>
    </w:p>
    <w:p w14:paraId="6F1A9DFF" w14:textId="77777777" w:rsidR="000B137E" w:rsidRDefault="000B137E" w:rsidP="000B137E">
      <w:pPr>
        <w:jc w:val="both"/>
      </w:pPr>
      <w:r>
        <w:t>55.2. mazbērna, vecvecāku, brāļa, māsas, pusbrāļa vai pusmāsas nāvi EUR 50,00 apmērā.”.</w:t>
      </w:r>
    </w:p>
    <w:p w14:paraId="6B2C2995" w14:textId="77777777" w:rsidR="000B137E" w:rsidRDefault="000B137E" w:rsidP="000B137E">
      <w:pPr>
        <w:pStyle w:val="ListParagraph"/>
        <w:numPr>
          <w:ilvl w:val="0"/>
          <w:numId w:val="1"/>
        </w:numPr>
        <w:ind w:left="0" w:firstLine="284"/>
        <w:jc w:val="both"/>
        <w:rPr>
          <w:color w:val="000000"/>
        </w:rPr>
      </w:pPr>
      <w:r>
        <w:rPr>
          <w:color w:val="000000"/>
        </w:rPr>
        <w:t>Izteikt Nolikuma 60.punktu šādā redakcijā:</w:t>
      </w:r>
    </w:p>
    <w:p w14:paraId="18443357" w14:textId="77777777" w:rsidR="000B137E" w:rsidRDefault="000B137E" w:rsidP="000B137E">
      <w:pPr>
        <w:pStyle w:val="ListParagraph"/>
        <w:ind w:left="0" w:firstLine="284"/>
        <w:jc w:val="both"/>
        <w:rPr>
          <w:color w:val="000000"/>
        </w:rPr>
      </w:pPr>
      <w:r>
        <w:rPr>
          <w:color w:val="000000"/>
        </w:rPr>
        <w:t>“60. Pašvaldības institūcija, tai piešķirto finanšu līdzekļu ietvaros darbiniekam piešķir un izmaksā atvaļinājuma pabalstu vienu reizi kalendāra gadā, ja darbinieks izmanto ikgadējo atvaļinājumu vai ikgadējā atvaļinājuma daļu, kura nav īsāka par divām nepārtrauktām kalendāra nedēļām. Pabalsts tiek izmaksāts šajā nolikumā noteiktajā kārtībā, nepārsniedzot Atlīdzības likumā noteikto apmēru. Darbiniekam, kurš izmanto ikgadējo atvaļinājumu pirms iestājies pilns nostrādāts pirmais darba gads, atvaļinājuma pabalstu neizmaksā.”.</w:t>
      </w:r>
    </w:p>
    <w:p w14:paraId="0B724DFA" w14:textId="77777777" w:rsidR="000B137E" w:rsidRDefault="000B137E" w:rsidP="000B137E">
      <w:pPr>
        <w:pStyle w:val="ListParagraph"/>
        <w:numPr>
          <w:ilvl w:val="0"/>
          <w:numId w:val="1"/>
        </w:numPr>
        <w:ind w:left="0" w:firstLine="284"/>
        <w:jc w:val="both"/>
        <w:rPr>
          <w:color w:val="000000"/>
        </w:rPr>
      </w:pPr>
      <w:r>
        <w:rPr>
          <w:color w:val="000000"/>
        </w:rPr>
        <w:t> Izteikt Nolikuma 63.punktu šādā redakcijā:</w:t>
      </w:r>
    </w:p>
    <w:p w14:paraId="3B261A3B" w14:textId="77777777" w:rsidR="000B137E" w:rsidRDefault="000B137E" w:rsidP="000B137E">
      <w:pPr>
        <w:ind w:firstLine="284"/>
        <w:jc w:val="both"/>
        <w:rPr>
          <w:color w:val="000000"/>
        </w:rPr>
      </w:pPr>
      <w:r>
        <w:rPr>
          <w:color w:val="000000"/>
        </w:rPr>
        <w:t>“63. Atvaļinājuma pabalstu nepiešķir, ja ikgadējā darba izpildes novērtēšanā darbinieka kopējais novērtējums ir „neapmierinoši” vai “jāpilnveido”.”.</w:t>
      </w:r>
    </w:p>
    <w:p w14:paraId="3FC91BEE" w14:textId="77777777" w:rsidR="000B137E" w:rsidRDefault="000B137E" w:rsidP="000B137E">
      <w:pPr>
        <w:pStyle w:val="ListParagraph"/>
        <w:numPr>
          <w:ilvl w:val="0"/>
          <w:numId w:val="1"/>
        </w:numPr>
        <w:ind w:left="0" w:firstLine="284"/>
        <w:jc w:val="both"/>
        <w:rPr>
          <w:color w:val="000000"/>
        </w:rPr>
      </w:pPr>
      <w:r>
        <w:rPr>
          <w:color w:val="000000"/>
        </w:rPr>
        <w:t>Izteikt Nolikuma 64.punktu šādā redakcijā:</w:t>
      </w:r>
    </w:p>
    <w:p w14:paraId="214152C7" w14:textId="77777777" w:rsidR="000B137E" w:rsidRDefault="000B137E" w:rsidP="000B137E">
      <w:pPr>
        <w:pStyle w:val="ListParagraph"/>
        <w:ind w:left="0" w:firstLine="284"/>
        <w:jc w:val="both"/>
        <w:rPr>
          <w:color w:val="000000"/>
        </w:rPr>
      </w:pPr>
      <w:r>
        <w:rPr>
          <w:color w:val="000000"/>
        </w:rPr>
        <w:t>“64. Atvaļinājuma pabalstu nepiešķir, ja nav veikta darbinieka ikgadējā darba izpildes novērtēšana.”.</w:t>
      </w:r>
      <w:proofErr w:type="gramStart"/>
      <w:r>
        <w:rPr>
          <w:color w:val="000000"/>
        </w:rPr>
        <w:t xml:space="preserve">  </w:t>
      </w:r>
      <w:proofErr w:type="gramEnd"/>
    </w:p>
    <w:p w14:paraId="6211638C" w14:textId="77777777" w:rsidR="000B137E" w:rsidRDefault="000B137E" w:rsidP="000B137E">
      <w:pPr>
        <w:ind w:right="-483" w:firstLine="284"/>
        <w:jc w:val="both"/>
        <w:rPr>
          <w:color w:val="000000"/>
        </w:rPr>
      </w:pPr>
    </w:p>
    <w:p w14:paraId="5024E818" w14:textId="77777777" w:rsidR="000B137E" w:rsidRDefault="000B137E" w:rsidP="000B137E">
      <w:pPr>
        <w:pStyle w:val="ListParagraph"/>
        <w:ind w:left="0" w:right="-483"/>
        <w:jc w:val="both"/>
        <w:rPr>
          <w:color w:val="000000"/>
        </w:rPr>
      </w:pPr>
    </w:p>
    <w:p w14:paraId="32E8D2B0" w14:textId="77777777" w:rsidR="000B137E" w:rsidRDefault="000B137E" w:rsidP="000B137E">
      <w:pPr>
        <w:ind w:right="84"/>
        <w:jc w:val="both"/>
      </w:pPr>
      <w:bookmarkStart w:id="2" w:name="_Hlk109639348"/>
      <w:r>
        <w:t>Domes priekšsēdētāja vietnieks</w:t>
      </w:r>
      <w:r>
        <w:tab/>
      </w:r>
      <w:r>
        <w:tab/>
      </w:r>
      <w:r>
        <w:tab/>
      </w:r>
      <w:r>
        <w:tab/>
      </w:r>
      <w:r>
        <w:tab/>
      </w:r>
      <w:proofErr w:type="gramStart"/>
      <w:r>
        <w:t xml:space="preserve">           </w:t>
      </w:r>
      <w:proofErr w:type="gramEnd"/>
      <w:r>
        <w:t>G.Safranovičs</w:t>
      </w:r>
    </w:p>
    <w:bookmarkEnd w:id="2"/>
    <w:p w14:paraId="28E767FB" w14:textId="77777777" w:rsidR="000B137E" w:rsidRDefault="000B137E" w:rsidP="000B137E">
      <w:pPr>
        <w:pStyle w:val="ListParagraph"/>
        <w:ind w:left="0" w:right="-483"/>
        <w:jc w:val="both"/>
      </w:pPr>
    </w:p>
    <w:p w14:paraId="508CCAF2" w14:textId="77777777" w:rsidR="000B137E" w:rsidRDefault="000B137E" w:rsidP="000B137E">
      <w:pPr>
        <w:pStyle w:val="ListParagraph"/>
        <w:ind w:left="0" w:right="-483"/>
        <w:jc w:val="both"/>
      </w:pPr>
    </w:p>
    <w:p w14:paraId="445279AF" w14:textId="77777777" w:rsidR="000B137E" w:rsidRDefault="000B137E" w:rsidP="000B137E"/>
    <w:p w14:paraId="71336D35" w14:textId="77777777" w:rsidR="007903D5" w:rsidRDefault="007903D5" w:rsidP="00EE2D16">
      <w:bookmarkStart w:id="3" w:name="_GoBack"/>
      <w:bookmarkEnd w:id="3"/>
    </w:p>
    <w:sectPr w:rsidR="007903D5" w:rsidSect="00EE2D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20455"/>
    <w:multiLevelType w:val="hybridMultilevel"/>
    <w:tmpl w:val="B7CEFD16"/>
    <w:lvl w:ilvl="0" w:tplc="B6A45E2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16"/>
    <w:rsid w:val="000B137E"/>
    <w:rsid w:val="007903D5"/>
    <w:rsid w:val="00EE2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1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E2D1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E2D16"/>
    <w:rPr>
      <w:rFonts w:ascii="Times New Roman" w:eastAsia="Times New Roman" w:hAnsi="Times New Roman" w:cs="Times New Roman"/>
      <w:sz w:val="24"/>
      <w:szCs w:val="24"/>
      <w:lang w:eastAsia="lv-LV"/>
    </w:rPr>
  </w:style>
  <w:style w:type="character" w:styleId="Hyperlink">
    <w:name w:val="Hyperlink"/>
    <w:uiPriority w:val="99"/>
    <w:rsid w:val="00EE2D16"/>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EE2D1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E2D16"/>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0B137E"/>
    <w:rPr>
      <w:rFonts w:ascii="Tahoma" w:hAnsi="Tahoma" w:cs="Tahoma"/>
      <w:sz w:val="16"/>
      <w:szCs w:val="16"/>
    </w:rPr>
  </w:style>
  <w:style w:type="character" w:customStyle="1" w:styleId="BalloonTextChar">
    <w:name w:val="Balloon Text Char"/>
    <w:basedOn w:val="DefaultParagraphFont"/>
    <w:link w:val="BalloonText"/>
    <w:uiPriority w:val="99"/>
    <w:semiHidden/>
    <w:rsid w:val="000B137E"/>
    <w:rPr>
      <w:rFonts w:ascii="Tahoma" w:eastAsia="Times New Roman" w:hAnsi="Tahoma" w:cs="Tahoma"/>
      <w:sz w:val="16"/>
      <w:szCs w:val="16"/>
      <w:lang w:eastAsia="lv-LV"/>
    </w:rPr>
  </w:style>
  <w:style w:type="character" w:customStyle="1" w:styleId="DefaultChar">
    <w:name w:val="Default Char"/>
    <w:link w:val="Default"/>
    <w:qFormat/>
    <w:locked/>
    <w:rsid w:val="000B137E"/>
    <w:rPr>
      <w:rFonts w:ascii="Times New Roman" w:eastAsia="Calibri" w:hAnsi="Times New Roman" w:cs="Times New Roman"/>
      <w:color w:val="000000"/>
      <w:sz w:val="24"/>
      <w:szCs w:val="24"/>
      <w:lang w:val="et-EE"/>
    </w:rPr>
  </w:style>
  <w:style w:type="paragraph" w:customStyle="1" w:styleId="Default">
    <w:name w:val="Default"/>
    <w:link w:val="DefaultChar"/>
    <w:qFormat/>
    <w:rsid w:val="000B137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1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EE2D1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EE2D16"/>
    <w:rPr>
      <w:rFonts w:ascii="Times New Roman" w:eastAsia="Times New Roman" w:hAnsi="Times New Roman" w:cs="Times New Roman"/>
      <w:sz w:val="24"/>
      <w:szCs w:val="24"/>
      <w:lang w:eastAsia="lv-LV"/>
    </w:rPr>
  </w:style>
  <w:style w:type="character" w:styleId="Hyperlink">
    <w:name w:val="Hyperlink"/>
    <w:uiPriority w:val="99"/>
    <w:rsid w:val="00EE2D16"/>
    <w:rPr>
      <w:color w:val="0000FF"/>
      <w:u w:val="single"/>
    </w:rPr>
  </w:style>
  <w:style w:type="paragraph" w:styleId="ListParagraph">
    <w:name w:val="List Paragraph"/>
    <w:aliases w:val="Strip,Saraksta rindkopa,H&amp;P List Paragraph,2,Virsraksti,List Paragraph1,punkti"/>
    <w:basedOn w:val="Normal"/>
    <w:link w:val="ListParagraphChar"/>
    <w:uiPriority w:val="34"/>
    <w:qFormat/>
    <w:rsid w:val="00EE2D1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EE2D16"/>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0B137E"/>
    <w:rPr>
      <w:rFonts w:ascii="Tahoma" w:hAnsi="Tahoma" w:cs="Tahoma"/>
      <w:sz w:val="16"/>
      <w:szCs w:val="16"/>
    </w:rPr>
  </w:style>
  <w:style w:type="character" w:customStyle="1" w:styleId="BalloonTextChar">
    <w:name w:val="Balloon Text Char"/>
    <w:basedOn w:val="DefaultParagraphFont"/>
    <w:link w:val="BalloonText"/>
    <w:uiPriority w:val="99"/>
    <w:semiHidden/>
    <w:rsid w:val="000B137E"/>
    <w:rPr>
      <w:rFonts w:ascii="Tahoma" w:eastAsia="Times New Roman" w:hAnsi="Tahoma" w:cs="Tahoma"/>
      <w:sz w:val="16"/>
      <w:szCs w:val="16"/>
      <w:lang w:eastAsia="lv-LV"/>
    </w:rPr>
  </w:style>
  <w:style w:type="character" w:customStyle="1" w:styleId="DefaultChar">
    <w:name w:val="Default Char"/>
    <w:link w:val="Default"/>
    <w:qFormat/>
    <w:locked/>
    <w:rsid w:val="000B137E"/>
    <w:rPr>
      <w:rFonts w:ascii="Times New Roman" w:eastAsia="Calibri" w:hAnsi="Times New Roman" w:cs="Times New Roman"/>
      <w:color w:val="000000"/>
      <w:sz w:val="24"/>
      <w:szCs w:val="24"/>
      <w:lang w:val="et-EE"/>
    </w:rPr>
  </w:style>
  <w:style w:type="paragraph" w:customStyle="1" w:styleId="Default">
    <w:name w:val="Default"/>
    <w:link w:val="DefaultChar"/>
    <w:qFormat/>
    <w:rsid w:val="000B137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2271-valsts-un-pasvaldibu-instituciju-amatu-katalog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222271-valsts-un-pasvaldibu-instituciju-amat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222271-valsts-un-pasvaldibu-instituciju-amatu-katalogs" TargetMode="External"/><Relationship Id="rId5" Type="http://schemas.openxmlformats.org/officeDocument/2006/relationships/webSettings" Target="webSettings.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https://likumi.lv/ta/id/222271-valsts-un-pasvaldibu-instituciju-amatu-katalo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5314</Words>
  <Characters>3029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2022-08-04T10:54:00Z</dcterms:created>
  <dcterms:modified xsi:type="dcterms:W3CDTF">2022-08-04T10:54:00Z</dcterms:modified>
</cp:coreProperties>
</file>