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E3242" w14:textId="77777777" w:rsidR="0012191F" w:rsidRDefault="0012191F" w:rsidP="0012191F">
      <w:pPr>
        <w:tabs>
          <w:tab w:val="left" w:pos="-24212"/>
        </w:tabs>
        <w:jc w:val="right"/>
        <w:rPr>
          <w:b/>
          <w:color w:val="000000"/>
        </w:rPr>
      </w:pPr>
    </w:p>
    <w:p w14:paraId="641B06AF" w14:textId="77777777" w:rsidR="0012191F" w:rsidRDefault="0012191F" w:rsidP="0012191F">
      <w:pPr>
        <w:tabs>
          <w:tab w:val="left" w:pos="-24212"/>
        </w:tabs>
        <w:jc w:val="right"/>
      </w:pPr>
      <w:r>
        <w:rPr>
          <w:b/>
          <w:color w:val="000000"/>
        </w:rPr>
        <w:t xml:space="preserve">PROJEKTS </w:t>
      </w:r>
    </w:p>
    <w:p w14:paraId="7BDC5950" w14:textId="77777777" w:rsidR="0012191F" w:rsidRDefault="0012191F" w:rsidP="0012191F">
      <w:pPr>
        <w:tabs>
          <w:tab w:val="left" w:pos="-24212"/>
        </w:tabs>
        <w:jc w:val="center"/>
        <w:rPr>
          <w:b/>
          <w:color w:val="000000"/>
          <w:sz w:val="20"/>
          <w:szCs w:val="20"/>
        </w:rPr>
      </w:pPr>
    </w:p>
    <w:p w14:paraId="4F5B47ED" w14:textId="7498EBE1" w:rsidR="0012191F" w:rsidRDefault="0012191F" w:rsidP="0012191F">
      <w:pPr>
        <w:tabs>
          <w:tab w:val="left" w:pos="-24212"/>
        </w:tabs>
        <w:jc w:val="center"/>
        <w:rPr>
          <w:color w:val="000000"/>
          <w:sz w:val="20"/>
        </w:rPr>
      </w:pPr>
      <w:r>
        <w:rPr>
          <w:noProof/>
          <w:color w:val="000000"/>
          <w:sz w:val="20"/>
          <w:szCs w:val="20"/>
          <w:lang w:eastAsia="lv-LV"/>
        </w:rPr>
        <w:drawing>
          <wp:inline distT="0" distB="0" distL="0" distR="0" wp14:anchorId="27F453C3" wp14:editId="01E4A6F3">
            <wp:extent cx="668020" cy="747395"/>
            <wp:effectExtent l="0" t="0" r="0" b="0"/>
            <wp:docPr id="14301621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781" t="-1604" r="-1781" b="-1604"/>
                    <a:stretch>
                      <a:fillRect/>
                    </a:stretch>
                  </pic:blipFill>
                  <pic:spPr bwMode="auto">
                    <a:xfrm>
                      <a:off x="0" y="0"/>
                      <a:ext cx="668020" cy="747395"/>
                    </a:xfrm>
                    <a:prstGeom prst="rect">
                      <a:avLst/>
                    </a:prstGeom>
                    <a:solidFill>
                      <a:srgbClr val="FFFFFF">
                        <a:alpha val="0"/>
                      </a:srgbClr>
                    </a:solidFill>
                    <a:ln>
                      <a:noFill/>
                    </a:ln>
                  </pic:spPr>
                </pic:pic>
              </a:graphicData>
            </a:graphic>
          </wp:inline>
        </w:drawing>
      </w:r>
    </w:p>
    <w:p w14:paraId="7BE31E4B" w14:textId="77777777" w:rsidR="0012191F" w:rsidRDefault="0012191F" w:rsidP="0012191F">
      <w:pPr>
        <w:pStyle w:val="Galvene"/>
        <w:jc w:val="center"/>
      </w:pPr>
      <w:r>
        <w:rPr>
          <w:color w:val="000000"/>
          <w:sz w:val="20"/>
        </w:rPr>
        <w:t>LATVIJAS REPUBLIKA</w:t>
      </w:r>
    </w:p>
    <w:p w14:paraId="530E2339" w14:textId="77777777" w:rsidR="0012191F" w:rsidRDefault="0012191F" w:rsidP="0012191F">
      <w:pPr>
        <w:pStyle w:val="Galvene"/>
        <w:jc w:val="center"/>
      </w:pPr>
      <w:r>
        <w:rPr>
          <w:b/>
          <w:color w:val="000000"/>
          <w:sz w:val="32"/>
          <w:szCs w:val="32"/>
        </w:rPr>
        <w:t>DOBELES NOVADA DOME</w:t>
      </w:r>
    </w:p>
    <w:p w14:paraId="606A24D6" w14:textId="77777777" w:rsidR="0012191F" w:rsidRDefault="0012191F" w:rsidP="0012191F">
      <w:pPr>
        <w:pStyle w:val="Galvene"/>
        <w:jc w:val="center"/>
      </w:pPr>
      <w:r>
        <w:rPr>
          <w:color w:val="000000"/>
          <w:sz w:val="16"/>
          <w:szCs w:val="16"/>
        </w:rPr>
        <w:t>Brīvības iela 17, Dobele, Dobeles novads, LV-3701</w:t>
      </w:r>
    </w:p>
    <w:p w14:paraId="63140B7E" w14:textId="77777777" w:rsidR="0012191F" w:rsidRDefault="0012191F" w:rsidP="0012191F">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5" w:history="1">
        <w:r>
          <w:rPr>
            <w:rStyle w:val="Hipersaite"/>
            <w:rFonts w:eastAsia="Calibri"/>
            <w:color w:val="000000"/>
            <w:sz w:val="16"/>
            <w:szCs w:val="16"/>
          </w:rPr>
          <w:t>dome@dobele.lv</w:t>
        </w:r>
      </w:hyperlink>
    </w:p>
    <w:p w14:paraId="1309D43E" w14:textId="77777777" w:rsidR="0012191F" w:rsidRDefault="0012191F" w:rsidP="0012191F">
      <w:pPr>
        <w:pStyle w:val="Default"/>
        <w:jc w:val="center"/>
        <w:rPr>
          <w:b/>
          <w:bCs/>
          <w:sz w:val="16"/>
          <w:szCs w:val="16"/>
        </w:rPr>
      </w:pPr>
    </w:p>
    <w:p w14:paraId="7B1FFE79" w14:textId="77777777" w:rsidR="0012191F" w:rsidRDefault="0012191F" w:rsidP="0012191F">
      <w:pPr>
        <w:pStyle w:val="Bezatstarpm1"/>
        <w:rPr>
          <w:b/>
          <w:bCs/>
          <w:color w:val="000000"/>
          <w:sz w:val="16"/>
          <w:szCs w:val="16"/>
        </w:rPr>
      </w:pPr>
    </w:p>
    <w:p w14:paraId="157271C1" w14:textId="77777777" w:rsidR="0012191F" w:rsidRDefault="0012191F" w:rsidP="0012191F">
      <w:pPr>
        <w:pStyle w:val="Bezatstarpm1"/>
        <w:rPr>
          <w:b/>
          <w:bCs/>
          <w:color w:val="000000"/>
          <w:sz w:val="16"/>
          <w:szCs w:val="16"/>
        </w:rPr>
      </w:pPr>
    </w:p>
    <w:p w14:paraId="6282AE16" w14:textId="77777777" w:rsidR="0012191F" w:rsidRDefault="0012191F" w:rsidP="0012191F">
      <w:pPr>
        <w:pStyle w:val="Default"/>
        <w:jc w:val="right"/>
      </w:pPr>
      <w:r>
        <w:rPr>
          <w:lang w:val="lv-LV"/>
        </w:rPr>
        <w:t>APSTIPRINĀTI</w:t>
      </w:r>
    </w:p>
    <w:p w14:paraId="4A5D6BF1" w14:textId="77777777" w:rsidR="0012191F" w:rsidRDefault="0012191F" w:rsidP="0012191F">
      <w:pPr>
        <w:pStyle w:val="Default"/>
        <w:jc w:val="right"/>
      </w:pPr>
      <w:r>
        <w:rPr>
          <w:lang w:val="lv-LV"/>
        </w:rPr>
        <w:t>ar Dobeles novada domes</w:t>
      </w:r>
    </w:p>
    <w:p w14:paraId="7D02D03E" w14:textId="77777777" w:rsidR="0012191F" w:rsidRDefault="0012191F" w:rsidP="0012191F">
      <w:pPr>
        <w:pStyle w:val="Default"/>
        <w:jc w:val="right"/>
      </w:pPr>
      <w:r>
        <w:rPr>
          <w:lang w:val="lv-LV"/>
        </w:rPr>
        <w:t>2024. gada __</w:t>
      </w:r>
      <w:r>
        <w:rPr>
          <w:bCs/>
          <w:lang w:val="lv-LV"/>
        </w:rPr>
        <w:t>. _________</w:t>
      </w:r>
      <w:r>
        <w:rPr>
          <w:lang w:val="lv-LV"/>
        </w:rPr>
        <w:t xml:space="preserve"> lēmumu Nr. _</w:t>
      </w:r>
      <w:r>
        <w:t>__/__________</w:t>
      </w:r>
    </w:p>
    <w:p w14:paraId="6FFBD69A" w14:textId="77777777" w:rsidR="0012191F" w:rsidRDefault="0012191F" w:rsidP="0012191F">
      <w:pPr>
        <w:pStyle w:val="Bezatstarpm1"/>
        <w:jc w:val="center"/>
        <w:rPr>
          <w:rFonts w:ascii="Times New Roman" w:hAnsi="Times New Roman" w:cs="Times New Roman"/>
          <w:b/>
          <w:color w:val="000000"/>
          <w:sz w:val="24"/>
          <w:szCs w:val="24"/>
        </w:rPr>
      </w:pPr>
    </w:p>
    <w:p w14:paraId="2B64CA5B" w14:textId="77777777" w:rsidR="0012191F" w:rsidRDefault="0012191F" w:rsidP="0012191F">
      <w:pPr>
        <w:pStyle w:val="Bezatstarpm1"/>
        <w:jc w:val="both"/>
        <w:rPr>
          <w:rFonts w:ascii="Times New Roman" w:hAnsi="Times New Roman" w:cs="Times New Roman"/>
          <w:b/>
          <w:color w:val="000000"/>
          <w:sz w:val="24"/>
          <w:szCs w:val="24"/>
        </w:rPr>
      </w:pPr>
    </w:p>
    <w:p w14:paraId="54B3DB00" w14:textId="15A54F6C" w:rsidR="0012191F" w:rsidRDefault="0012191F" w:rsidP="0012191F">
      <w:pPr>
        <w:pStyle w:val="Bezatstarpm1"/>
        <w:jc w:val="both"/>
      </w:pPr>
      <w:r>
        <w:rPr>
          <w:rFonts w:ascii="Times New Roman" w:hAnsi="Times New Roman" w:cs="Times New Roman"/>
          <w:b/>
          <w:color w:val="000000"/>
          <w:sz w:val="24"/>
          <w:szCs w:val="24"/>
        </w:rPr>
        <w:t>2024. gada 27</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 ____</w:t>
      </w:r>
    </w:p>
    <w:p w14:paraId="12E575F4" w14:textId="77777777" w:rsidR="0012191F" w:rsidRDefault="0012191F" w:rsidP="0012191F">
      <w:pPr>
        <w:tabs>
          <w:tab w:val="left" w:pos="6946"/>
        </w:tabs>
        <w:jc w:val="both"/>
        <w:rPr>
          <w:b/>
          <w:color w:val="000000"/>
        </w:rPr>
      </w:pPr>
    </w:p>
    <w:p w14:paraId="07EADB26" w14:textId="77777777" w:rsidR="0012191F" w:rsidRDefault="0012191F" w:rsidP="0012191F">
      <w:pPr>
        <w:pStyle w:val="Default"/>
        <w:tabs>
          <w:tab w:val="left" w:pos="284"/>
        </w:tabs>
        <w:jc w:val="center"/>
        <w:rPr>
          <w:b/>
        </w:rPr>
      </w:pPr>
    </w:p>
    <w:p w14:paraId="57E5FB8C" w14:textId="77777777" w:rsidR="0012191F" w:rsidRDefault="0012191F" w:rsidP="0012191F">
      <w:pPr>
        <w:keepNext/>
        <w:jc w:val="center"/>
      </w:pPr>
      <w:r>
        <w:rPr>
          <w:b/>
          <w:bCs/>
          <w:iCs/>
          <w:color w:val="000000"/>
        </w:rPr>
        <w:t>Grozījums Dobeles novada</w:t>
      </w:r>
      <w:r>
        <w:rPr>
          <w:b/>
          <w:bCs/>
          <w:iCs/>
          <w:color w:val="000000"/>
          <w:spacing w:val="-3"/>
        </w:rPr>
        <w:t xml:space="preserve"> </w:t>
      </w:r>
      <w:r>
        <w:rPr>
          <w:b/>
          <w:bCs/>
          <w:iCs/>
          <w:color w:val="000000"/>
        </w:rPr>
        <w:t>domes 2022. gada 26. maija saistošajos noteikumos Nr.23 „</w:t>
      </w:r>
      <w:r>
        <w:rPr>
          <w:b/>
          <w:iCs/>
          <w:color w:val="000000"/>
        </w:rPr>
        <w:t>Par Dobeles novada pašvaldībai piederošo vai tās nomāto dzīvojamo telpu īres maksas noteikšanas kārtību</w:t>
      </w:r>
      <w:r>
        <w:rPr>
          <w:b/>
          <w:bCs/>
          <w:iCs/>
          <w:color w:val="000000"/>
        </w:rPr>
        <w:t xml:space="preserve">” </w:t>
      </w:r>
    </w:p>
    <w:p w14:paraId="2CF01349" w14:textId="77777777" w:rsidR="0012191F" w:rsidRDefault="0012191F" w:rsidP="0012191F">
      <w:pPr>
        <w:rPr>
          <w:b/>
          <w:color w:val="000000"/>
        </w:rPr>
      </w:pPr>
    </w:p>
    <w:p w14:paraId="1120A0CD" w14:textId="77777777" w:rsidR="0012191F" w:rsidRDefault="0012191F" w:rsidP="0012191F">
      <w:pPr>
        <w:ind w:left="5387" w:right="3"/>
        <w:jc w:val="right"/>
      </w:pPr>
      <w:r>
        <w:rPr>
          <w:i/>
        </w:rPr>
        <w:t>Izdoti saskaņā ar Dzīvojamo telpu īres likuma 31. panta pirmo daļu</w:t>
      </w:r>
    </w:p>
    <w:p w14:paraId="2BC5A4AD" w14:textId="77777777" w:rsidR="0012191F" w:rsidRDefault="0012191F" w:rsidP="0012191F">
      <w:pPr>
        <w:rPr>
          <w:color w:val="000000"/>
        </w:rPr>
      </w:pPr>
    </w:p>
    <w:p w14:paraId="584B5045" w14:textId="77777777" w:rsidR="0012191F" w:rsidRDefault="0012191F" w:rsidP="0012191F">
      <w:pPr>
        <w:rPr>
          <w:color w:val="000000"/>
        </w:rPr>
      </w:pPr>
    </w:p>
    <w:p w14:paraId="5C535596" w14:textId="77777777" w:rsidR="0012191F" w:rsidRDefault="0012191F" w:rsidP="0012191F">
      <w:pPr>
        <w:rPr>
          <w:color w:val="000000"/>
        </w:rPr>
      </w:pPr>
    </w:p>
    <w:p w14:paraId="04073243" w14:textId="77777777" w:rsidR="0012191F" w:rsidRDefault="0012191F" w:rsidP="0012191F">
      <w:pPr>
        <w:rPr>
          <w:color w:val="000000"/>
        </w:rPr>
      </w:pPr>
    </w:p>
    <w:p w14:paraId="231FF4DB" w14:textId="77777777" w:rsidR="0012191F" w:rsidRDefault="0012191F" w:rsidP="0012191F">
      <w:pPr>
        <w:tabs>
          <w:tab w:val="left" w:pos="0"/>
        </w:tabs>
        <w:autoSpaceDE w:val="0"/>
        <w:spacing w:after="160"/>
        <w:ind w:firstLine="284"/>
        <w:contextualSpacing/>
        <w:jc w:val="both"/>
      </w:pPr>
      <w:r>
        <w:rPr>
          <w:color w:val="000000"/>
        </w:rPr>
        <w:t>Izdarīt Dobeles novada</w:t>
      </w:r>
      <w:r>
        <w:rPr>
          <w:color w:val="000000"/>
          <w:spacing w:val="-3"/>
        </w:rPr>
        <w:t xml:space="preserve"> </w:t>
      </w:r>
      <w:r>
        <w:rPr>
          <w:color w:val="000000"/>
        </w:rPr>
        <w:t xml:space="preserve">domes 2022. gada 26. maija saistošajos noteikumos Nr. 23 „Par Dobeles novada pašvaldībai piederošo vai tās nomāto dzīvojamo telpu īres maksas noteikšanas kārtību” </w:t>
      </w:r>
      <w:r>
        <w:rPr>
          <w:color w:val="000000"/>
          <w:lang w:eastAsia="lv-LV"/>
        </w:rPr>
        <w:t>(Latvijas Vēstnesis, 2022, Nr. 115, Nr. 245, Latvijas Vēstnesis, 2024, Nr. 36)</w:t>
      </w:r>
      <w:r>
        <w:rPr>
          <w:color w:val="000000"/>
        </w:rPr>
        <w:t xml:space="preserve"> šādu grozījumu – aizstāt visā  saistošo noteikumu tekstā vārdu “kadastrālo” (attiecīgā locījumā) ar vārdiem “fiskālo kadastrālo” (attiecīgā locījumā). </w:t>
      </w:r>
      <w:r>
        <w:rPr>
          <w:b/>
          <w:bCs/>
          <w:color w:val="000000"/>
        </w:rPr>
        <w:t xml:space="preserve"> </w:t>
      </w:r>
    </w:p>
    <w:p w14:paraId="1C013819" w14:textId="77777777" w:rsidR="0012191F" w:rsidRDefault="0012191F" w:rsidP="0012191F">
      <w:pPr>
        <w:autoSpaceDE w:val="0"/>
        <w:ind w:left="360"/>
        <w:jc w:val="right"/>
        <w:rPr>
          <w:b/>
          <w:color w:val="000000"/>
        </w:rPr>
      </w:pPr>
    </w:p>
    <w:p w14:paraId="75D1D5F2" w14:textId="77777777" w:rsidR="0012191F" w:rsidRDefault="0012191F" w:rsidP="0012191F">
      <w:pPr>
        <w:jc w:val="center"/>
        <w:rPr>
          <w:b/>
          <w:color w:val="000000"/>
        </w:rPr>
      </w:pPr>
    </w:p>
    <w:p w14:paraId="0E098DF8" w14:textId="77777777" w:rsidR="0012191F" w:rsidRDefault="0012191F" w:rsidP="0012191F">
      <w:pPr>
        <w:jc w:val="center"/>
        <w:rPr>
          <w:b/>
          <w:color w:val="000000"/>
        </w:rPr>
      </w:pPr>
    </w:p>
    <w:p w14:paraId="1F9809AF" w14:textId="77777777" w:rsidR="0012191F" w:rsidRDefault="0012191F" w:rsidP="0012191F">
      <w:pPr>
        <w:tabs>
          <w:tab w:val="left" w:pos="8034"/>
        </w:tabs>
        <w:ind w:left="112"/>
      </w:pPr>
      <w:r>
        <w:t>Domes</w:t>
      </w:r>
      <w:r>
        <w:rPr>
          <w:spacing w:val="-3"/>
        </w:rPr>
        <w:t xml:space="preserve"> </w:t>
      </w:r>
      <w:r>
        <w:t>priekšsēdētājs</w:t>
      </w:r>
      <w:r>
        <w:tab/>
        <w:t>I. Gorskis</w:t>
      </w:r>
      <w:bookmarkStart w:id="0" w:name="_Hlk157507836"/>
      <w:bookmarkEnd w:id="0"/>
    </w:p>
    <w:p w14:paraId="26B846F5" w14:textId="77777777" w:rsidR="0012191F" w:rsidRDefault="0012191F" w:rsidP="0012191F">
      <w:pPr>
        <w:jc w:val="center"/>
        <w:rPr>
          <w:b/>
          <w:color w:val="000000"/>
        </w:rPr>
      </w:pPr>
    </w:p>
    <w:p w14:paraId="0686EA51" w14:textId="77777777" w:rsidR="0012191F" w:rsidRDefault="0012191F" w:rsidP="0012191F">
      <w:pPr>
        <w:jc w:val="center"/>
        <w:rPr>
          <w:b/>
          <w:color w:val="000000"/>
        </w:rPr>
      </w:pPr>
    </w:p>
    <w:p w14:paraId="00D7D994" w14:textId="77777777" w:rsidR="0012191F" w:rsidRDefault="0012191F" w:rsidP="0012191F">
      <w:pPr>
        <w:jc w:val="center"/>
        <w:rPr>
          <w:b/>
          <w:color w:val="000000"/>
        </w:rPr>
      </w:pPr>
    </w:p>
    <w:p w14:paraId="73C2C66C" w14:textId="77777777" w:rsidR="0012191F" w:rsidRDefault="0012191F" w:rsidP="0012191F">
      <w:pPr>
        <w:jc w:val="center"/>
        <w:rPr>
          <w:b/>
          <w:color w:val="000000"/>
        </w:rPr>
      </w:pPr>
    </w:p>
    <w:p w14:paraId="12431E44" w14:textId="77777777" w:rsidR="0012191F" w:rsidRDefault="0012191F" w:rsidP="0012191F">
      <w:pPr>
        <w:jc w:val="center"/>
        <w:rPr>
          <w:b/>
          <w:color w:val="000000"/>
        </w:rPr>
      </w:pPr>
    </w:p>
    <w:p w14:paraId="33ECCD7A" w14:textId="77777777" w:rsidR="0012191F" w:rsidRDefault="0012191F" w:rsidP="0012191F">
      <w:pPr>
        <w:jc w:val="center"/>
        <w:rPr>
          <w:b/>
          <w:color w:val="000000"/>
        </w:rPr>
      </w:pPr>
    </w:p>
    <w:p w14:paraId="1E9392B2" w14:textId="77777777" w:rsidR="0012191F" w:rsidRDefault="0012191F" w:rsidP="0012191F">
      <w:pPr>
        <w:jc w:val="center"/>
        <w:rPr>
          <w:b/>
          <w:color w:val="000000"/>
        </w:rPr>
      </w:pPr>
    </w:p>
    <w:p w14:paraId="1E6F742F" w14:textId="77777777" w:rsidR="0012191F" w:rsidRDefault="0012191F" w:rsidP="0012191F">
      <w:pPr>
        <w:jc w:val="center"/>
        <w:rPr>
          <w:b/>
          <w:color w:val="000000"/>
        </w:rPr>
      </w:pPr>
    </w:p>
    <w:p w14:paraId="34C8E76C" w14:textId="77777777" w:rsidR="0012191F" w:rsidRDefault="0012191F" w:rsidP="0012191F">
      <w:pPr>
        <w:jc w:val="center"/>
        <w:rPr>
          <w:b/>
          <w:color w:val="000000"/>
        </w:rPr>
      </w:pPr>
    </w:p>
    <w:p w14:paraId="1A62E47E" w14:textId="77777777" w:rsidR="0012191F" w:rsidRDefault="0012191F" w:rsidP="0012191F">
      <w:pPr>
        <w:jc w:val="center"/>
        <w:rPr>
          <w:b/>
          <w:color w:val="000000"/>
        </w:rPr>
      </w:pPr>
    </w:p>
    <w:p w14:paraId="5EE46979" w14:textId="77777777" w:rsidR="0012191F" w:rsidRDefault="0012191F" w:rsidP="0012191F">
      <w:pPr>
        <w:jc w:val="center"/>
        <w:rPr>
          <w:b/>
          <w:color w:val="000000"/>
        </w:rPr>
      </w:pPr>
    </w:p>
    <w:p w14:paraId="7BAF2D88" w14:textId="77777777" w:rsidR="0012191F" w:rsidRDefault="0012191F" w:rsidP="0012191F">
      <w:pPr>
        <w:jc w:val="center"/>
        <w:rPr>
          <w:b/>
          <w:color w:val="000000"/>
        </w:rPr>
      </w:pPr>
    </w:p>
    <w:p w14:paraId="0A72ADCD" w14:textId="77777777" w:rsidR="0012191F" w:rsidRDefault="0012191F" w:rsidP="0012191F">
      <w:pPr>
        <w:jc w:val="center"/>
        <w:rPr>
          <w:b/>
          <w:color w:val="000000"/>
        </w:rPr>
      </w:pPr>
    </w:p>
    <w:p w14:paraId="6C823A75" w14:textId="77777777" w:rsidR="0012191F" w:rsidRDefault="0012191F" w:rsidP="0012191F">
      <w:pPr>
        <w:jc w:val="center"/>
      </w:pPr>
      <w:r>
        <w:rPr>
          <w:b/>
          <w:color w:val="000000"/>
        </w:rPr>
        <w:t>Dobeles novada domes saistošo noteikumu Nr._____</w:t>
      </w:r>
    </w:p>
    <w:p w14:paraId="5B09820E" w14:textId="77777777" w:rsidR="0012191F" w:rsidRDefault="0012191F" w:rsidP="0012191F">
      <w:pPr>
        <w:keepNext/>
        <w:jc w:val="center"/>
      </w:pPr>
      <w:r>
        <w:rPr>
          <w:b/>
          <w:bCs/>
          <w:iCs/>
          <w:color w:val="000000"/>
        </w:rPr>
        <w:t>Grozījums Dobeles novada</w:t>
      </w:r>
      <w:r>
        <w:rPr>
          <w:b/>
          <w:bCs/>
          <w:iCs/>
          <w:color w:val="000000"/>
          <w:spacing w:val="-3"/>
        </w:rPr>
        <w:t xml:space="preserve"> </w:t>
      </w:r>
      <w:r>
        <w:rPr>
          <w:b/>
          <w:bCs/>
          <w:iCs/>
          <w:color w:val="000000"/>
        </w:rPr>
        <w:t>domes 2022. gada 26. maija saistošajos noteikumos Nr.23 „</w:t>
      </w:r>
      <w:r>
        <w:rPr>
          <w:b/>
          <w:iCs/>
          <w:color w:val="000000"/>
        </w:rPr>
        <w:t>Par Dobeles novada pašvaldībai piederošo vai tās nomāto dzīvojamo telpu īres maksas noteikšanas kārtību</w:t>
      </w:r>
      <w:r>
        <w:rPr>
          <w:b/>
          <w:bCs/>
          <w:iCs/>
          <w:color w:val="000000"/>
        </w:rPr>
        <w:t xml:space="preserve">” </w:t>
      </w:r>
      <w:r>
        <w:rPr>
          <w:b/>
          <w:bCs/>
          <w:color w:val="000000"/>
        </w:rPr>
        <w:t>paskaidrojuma raksts</w:t>
      </w:r>
    </w:p>
    <w:p w14:paraId="16CF2E20" w14:textId="77777777" w:rsidR="0012191F" w:rsidRDefault="0012191F" w:rsidP="0012191F">
      <w:pPr>
        <w:jc w:val="center"/>
        <w:rPr>
          <w:rFonts w:eastAsia="Calibri"/>
          <w:b/>
          <w:bCs/>
          <w:color w:val="000000"/>
        </w:rPr>
      </w:pPr>
    </w:p>
    <w:tbl>
      <w:tblPr>
        <w:tblW w:w="0" w:type="auto"/>
        <w:tblInd w:w="-268" w:type="dxa"/>
        <w:tblLayout w:type="fixed"/>
        <w:tblCellMar>
          <w:left w:w="7" w:type="dxa"/>
          <w:right w:w="7" w:type="dxa"/>
        </w:tblCellMar>
        <w:tblLook w:val="0000" w:firstRow="0" w:lastRow="0" w:firstColumn="0" w:lastColumn="0" w:noHBand="0" w:noVBand="0"/>
      </w:tblPr>
      <w:tblGrid>
        <w:gridCol w:w="2473"/>
        <w:gridCol w:w="7150"/>
      </w:tblGrid>
      <w:tr w:rsidR="0012191F" w14:paraId="7B6E4778" w14:textId="77777777" w:rsidTr="00B16B00">
        <w:trPr>
          <w:trHeight w:val="666"/>
        </w:trPr>
        <w:tc>
          <w:tcPr>
            <w:tcW w:w="24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94FB4" w14:textId="77777777" w:rsidR="0012191F" w:rsidRDefault="0012191F" w:rsidP="00B16B00">
            <w:pPr>
              <w:widowControl w:val="0"/>
              <w:spacing w:before="56"/>
              <w:ind w:left="911" w:right="61" w:hanging="819"/>
              <w:jc w:val="center"/>
            </w:pPr>
            <w:r>
              <w:rPr>
                <w:b/>
              </w:rPr>
              <w:t>Sadaļas nosaukums</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3CE36A35" w14:textId="77777777" w:rsidR="0012191F" w:rsidRDefault="0012191F" w:rsidP="00B16B00">
            <w:pPr>
              <w:widowControl w:val="0"/>
              <w:spacing w:before="195"/>
              <w:ind w:left="2137" w:right="2178"/>
              <w:jc w:val="center"/>
            </w:pPr>
            <w:r>
              <w:rPr>
                <w:b/>
              </w:rPr>
              <w:t>Sadaļas paskaidrojums</w:t>
            </w:r>
          </w:p>
        </w:tc>
      </w:tr>
      <w:tr w:rsidR="0012191F" w14:paraId="2C333E1D" w14:textId="77777777" w:rsidTr="00B16B00">
        <w:trPr>
          <w:trHeight w:val="836"/>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50B8CD17" w14:textId="77777777" w:rsidR="0012191F" w:rsidRDefault="0012191F" w:rsidP="00B16B00">
            <w:pPr>
              <w:widowControl w:val="0"/>
              <w:tabs>
                <w:tab w:val="left" w:pos="417"/>
              </w:tabs>
              <w:spacing w:before="56"/>
              <w:ind w:left="57" w:right="701"/>
            </w:pPr>
            <w:r>
              <w:rPr>
                <w:b/>
              </w:rPr>
              <w:t xml:space="preserve">1. </w:t>
            </w:r>
            <w:r>
              <w:rPr>
                <w:b/>
              </w:rPr>
              <w:tab/>
            </w:r>
            <w:r>
              <w:t>Mērķis un</w:t>
            </w:r>
            <w:r>
              <w:rPr>
                <w:spacing w:val="-58"/>
              </w:rPr>
              <w:t xml:space="preserve"> </w:t>
            </w:r>
            <w:r>
              <w:t>nepieciešamības</w:t>
            </w:r>
            <w:r>
              <w:rPr>
                <w:spacing w:val="1"/>
              </w:rPr>
              <w:t xml:space="preserve"> </w:t>
            </w:r>
            <w:r>
              <w:t>pamatojums</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5CA0C6FE" w14:textId="77777777" w:rsidR="0012191F" w:rsidRDefault="0012191F" w:rsidP="00B16B00">
            <w:pPr>
              <w:ind w:right="133"/>
              <w:jc w:val="both"/>
            </w:pPr>
            <w:r>
              <w:t>1.1.</w:t>
            </w:r>
            <w:r>
              <w:rPr>
                <w:color w:val="000000"/>
                <w:shd w:val="clear" w:color="auto" w:fill="FFFFFF"/>
              </w:rPr>
              <w:t xml:space="preserve">Nekustamā īpašuma valsts kadastra likuma Pārejas noteikumu 43.¹ punkts nosaka, ka </w:t>
            </w:r>
            <w:bookmarkStart w:id="1" w:name="p43_1"/>
            <w:bookmarkEnd w:id="1"/>
            <w:r>
              <w:rPr>
                <w:color w:val="000000"/>
                <w:shd w:val="clear" w:color="auto" w:fill="FFFFFF"/>
              </w:rPr>
              <w:t>Valsts zemes dienests no 2025. gada 1. janvāra līdz brīdim, kad sāk piemērot šo pārejas noteikumu 50. punktā minēto kadastrālo vērtību bāzi, Kadastra informācijas sistēmā katram kadastra objektam aprēķina un reģistrē divas spēkā esošas kadastrālās vērtības:</w:t>
            </w:r>
          </w:p>
          <w:p w14:paraId="1EFEDDBC" w14:textId="77777777" w:rsidR="0012191F" w:rsidRDefault="0012191F" w:rsidP="00B16B00">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pPr>
            <w:r>
              <w:rPr>
                <w:color w:val="000000"/>
                <w:sz w:val="24"/>
                <w:szCs w:val="24"/>
                <w:lang w:val="lv-LV"/>
              </w:rPr>
              <w:t>1) fiskālo kadastrālo vērtību, ko izmanto nodokļu, valsts nodevu un citu maksājumu valsts vai pašvaldības budžetā aprēķinam, izņemot maksas par zemes likumisko lietošanu aprēķinu;</w:t>
            </w:r>
          </w:p>
          <w:p w14:paraId="328D3882" w14:textId="77777777" w:rsidR="0012191F" w:rsidRDefault="0012191F" w:rsidP="00B16B00">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pPr>
            <w:r>
              <w:rPr>
                <w:color w:val="000000"/>
                <w:sz w:val="24"/>
                <w:szCs w:val="24"/>
                <w:lang w:val="lv-LV"/>
              </w:rPr>
              <w:t>2) universālo kadastrālo vērtību, ko izmanto šo pārejas noteikumu 43.</w:t>
            </w:r>
            <w:r>
              <w:rPr>
                <w:color w:val="000000"/>
                <w:position w:val="8"/>
                <w:sz w:val="24"/>
                <w:szCs w:val="24"/>
                <w:lang w:val="lv-LV"/>
              </w:rPr>
              <w:t>1</w:t>
            </w:r>
            <w:r>
              <w:rPr>
                <w:color w:val="000000"/>
                <w:sz w:val="24"/>
                <w:szCs w:val="24"/>
                <w:lang w:val="lv-LV"/>
              </w:rPr>
              <w:t> punkta 1. apakšpunktā neminētām vajadzībām.</w:t>
            </w:r>
          </w:p>
          <w:p w14:paraId="6EBDAA71" w14:textId="77777777" w:rsidR="0012191F" w:rsidRDefault="0012191F" w:rsidP="00B16B00">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rPr>
                <w:color w:val="000000"/>
                <w:sz w:val="24"/>
                <w:szCs w:val="24"/>
                <w:lang w:val="lv-LV"/>
              </w:rPr>
            </w:pPr>
          </w:p>
          <w:p w14:paraId="7D409B5F" w14:textId="77777777" w:rsidR="0012191F" w:rsidRDefault="0012191F" w:rsidP="00B16B00">
            <w:pPr>
              <w:pStyle w:val="Pamatteksts"/>
              <w:widowControl/>
              <w:pBdr>
                <w:top w:val="none" w:sz="0" w:space="0" w:color="000000"/>
                <w:left w:val="none" w:sz="0" w:space="0" w:color="000000"/>
                <w:bottom w:val="none" w:sz="0" w:space="0" w:color="000000"/>
                <w:right w:val="none" w:sz="0" w:space="0" w:color="000000"/>
              </w:pBdr>
              <w:spacing w:line="190" w:lineRule="atLeast"/>
              <w:jc w:val="both"/>
            </w:pPr>
            <w:r>
              <w:rPr>
                <w:color w:val="000000"/>
                <w:sz w:val="24"/>
                <w:szCs w:val="24"/>
                <w:lang w:val="lv-LV"/>
              </w:rPr>
              <w:t>1.2. Grozījums saistošajos noteikumos nepieciešams, lai veicot aprēķinus būtu nepārprotami skaidrs kāda tieši  kadastrālā vērtība tiek piemērota.</w:t>
            </w:r>
          </w:p>
          <w:p w14:paraId="32958220" w14:textId="77777777" w:rsidR="0012191F" w:rsidRDefault="0012191F" w:rsidP="00B16B00">
            <w:pPr>
              <w:ind w:right="133"/>
              <w:jc w:val="both"/>
              <w:rPr>
                <w:shd w:val="clear" w:color="auto" w:fill="FFFFFF"/>
              </w:rPr>
            </w:pPr>
          </w:p>
          <w:p w14:paraId="2CADCDC8" w14:textId="77777777" w:rsidR="0012191F" w:rsidRDefault="0012191F" w:rsidP="00B16B00">
            <w:pPr>
              <w:ind w:right="133"/>
              <w:jc w:val="both"/>
            </w:pPr>
            <w:r>
              <w:rPr>
                <w:shd w:val="clear" w:color="auto" w:fill="FFFFFF"/>
              </w:rPr>
              <w:t xml:space="preserve">1.3. </w:t>
            </w:r>
            <w:r>
              <w:t>Ministru kabineta 2009. gada 3. februāra noteikumu Nr. 108 "Normatīvo aktu projektu sagatavošanas noteikumi" 186. punkts nosaka, ka, lai izdarītu grozījumus pašvaldību saistošajos noteikumos, sagatavo pašvaldību saistošo noteikumu grozījumu projektu.</w:t>
            </w:r>
          </w:p>
          <w:p w14:paraId="22BC486D" w14:textId="77777777" w:rsidR="0012191F" w:rsidRDefault="0012191F" w:rsidP="00B16B00">
            <w:pPr>
              <w:ind w:right="133"/>
              <w:jc w:val="both"/>
            </w:pPr>
          </w:p>
        </w:tc>
      </w:tr>
      <w:tr w:rsidR="0012191F" w14:paraId="460B8C41" w14:textId="77777777" w:rsidTr="00B16B00">
        <w:trPr>
          <w:trHeight w:val="666"/>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44E2A112" w14:textId="77777777" w:rsidR="0012191F" w:rsidRDefault="0012191F" w:rsidP="00B16B00">
            <w:pPr>
              <w:widowControl w:val="0"/>
              <w:tabs>
                <w:tab w:val="left" w:pos="285"/>
              </w:tabs>
              <w:spacing w:before="56"/>
              <w:ind w:left="57" w:right="170"/>
            </w:pPr>
            <w:r>
              <w:rPr>
                <w:b/>
              </w:rPr>
              <w:t>2.</w:t>
            </w:r>
            <w:r>
              <w:rPr>
                <w:b/>
              </w:rPr>
              <w:tab/>
            </w:r>
            <w:r>
              <w:rPr>
                <w:spacing w:val="-1"/>
              </w:rPr>
              <w:t xml:space="preserve">Fiskālā </w:t>
            </w:r>
            <w:r>
              <w:t>ietekme</w:t>
            </w:r>
            <w:r>
              <w:rPr>
                <w:spacing w:val="-57"/>
              </w:rPr>
              <w:t xml:space="preserve"> </w:t>
            </w:r>
            <w:r>
              <w:t>uz</w:t>
            </w:r>
            <w:r>
              <w:rPr>
                <w:spacing w:val="-4"/>
              </w:rPr>
              <w:t xml:space="preserve"> </w:t>
            </w:r>
            <w:r>
              <w:t>pašvaldības</w:t>
            </w:r>
            <w:r>
              <w:rPr>
                <w:spacing w:val="-3"/>
              </w:rPr>
              <w:t xml:space="preserve"> </w:t>
            </w:r>
            <w:r>
              <w:t>budžetu</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454A14C4" w14:textId="77777777" w:rsidR="0012191F" w:rsidRDefault="0012191F" w:rsidP="00B16B00">
            <w:pPr>
              <w:jc w:val="both"/>
            </w:pPr>
            <w:r>
              <w:t>Nav.</w:t>
            </w:r>
          </w:p>
        </w:tc>
      </w:tr>
      <w:tr w:rsidR="0012191F" w14:paraId="2CB68DAD" w14:textId="77777777" w:rsidTr="00B16B00">
        <w:trPr>
          <w:trHeight w:val="2874"/>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4410666A" w14:textId="77777777" w:rsidR="0012191F" w:rsidRDefault="0012191F" w:rsidP="00B16B00">
            <w:pPr>
              <w:widowControl w:val="0"/>
              <w:spacing w:before="56"/>
              <w:ind w:left="57" w:right="47"/>
            </w:pPr>
            <w:r>
              <w:rPr>
                <w:b/>
              </w:rPr>
              <w:t xml:space="preserve">3. </w:t>
            </w:r>
            <w:r>
              <w:t>Sociālā ietekme,</w:t>
            </w:r>
            <w:r>
              <w:rPr>
                <w:spacing w:val="1"/>
              </w:rPr>
              <w:t xml:space="preserve"> </w:t>
            </w:r>
            <w:r>
              <w:t>ietekme uz vidi,</w:t>
            </w:r>
            <w:r>
              <w:rPr>
                <w:spacing w:val="1"/>
              </w:rPr>
              <w:t xml:space="preserve"> </w:t>
            </w:r>
            <w:r>
              <w:t>iedzīvotāju veselību,</w:t>
            </w:r>
            <w:r>
              <w:rPr>
                <w:spacing w:val="1"/>
              </w:rPr>
              <w:t xml:space="preserve"> </w:t>
            </w:r>
            <w:r>
              <w:t>uzņēmējdarbības vidi</w:t>
            </w:r>
            <w:r>
              <w:rPr>
                <w:spacing w:val="1"/>
              </w:rPr>
              <w:t xml:space="preserve"> </w:t>
            </w:r>
            <w:r>
              <w:t>pašvaldības</w:t>
            </w:r>
            <w:r>
              <w:rPr>
                <w:spacing w:val="-9"/>
              </w:rPr>
              <w:t xml:space="preserve"> </w:t>
            </w:r>
            <w:r>
              <w:t>teritorijā,</w:t>
            </w:r>
            <w:r>
              <w:rPr>
                <w:spacing w:val="-8"/>
              </w:rPr>
              <w:t xml:space="preserve"> </w:t>
            </w:r>
            <w:r>
              <w:t>kā</w:t>
            </w:r>
            <w:r>
              <w:rPr>
                <w:spacing w:val="-57"/>
              </w:rPr>
              <w:t xml:space="preserve"> </w:t>
            </w:r>
            <w:r>
              <w:t>arī plānotā regulējuma</w:t>
            </w:r>
            <w:r>
              <w:rPr>
                <w:spacing w:val="1"/>
              </w:rPr>
              <w:t xml:space="preserve"> </w:t>
            </w:r>
            <w:r>
              <w:t>ietekme</w:t>
            </w:r>
            <w:r>
              <w:rPr>
                <w:spacing w:val="-1"/>
              </w:rPr>
              <w:t xml:space="preserve"> </w:t>
            </w:r>
            <w:r>
              <w:t>uz</w:t>
            </w:r>
            <w:r>
              <w:rPr>
                <w:spacing w:val="-2"/>
              </w:rPr>
              <w:t xml:space="preserve"> </w:t>
            </w:r>
            <w:r>
              <w:t>konkurenci</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4435D151" w14:textId="77777777" w:rsidR="0012191F" w:rsidRDefault="0012191F" w:rsidP="00B16B00">
            <w:r>
              <w:rPr>
                <w:lang w:eastAsia="lv-LV"/>
              </w:rPr>
              <w:t>3.1. Sociālā ietekme – nav.</w:t>
            </w:r>
          </w:p>
          <w:p w14:paraId="5FABDDFA" w14:textId="77777777" w:rsidR="0012191F" w:rsidRDefault="0012191F" w:rsidP="00B16B00">
            <w:pPr>
              <w:spacing w:before="280" w:after="280"/>
            </w:pPr>
            <w:r>
              <w:rPr>
                <w:lang w:eastAsia="lv-LV"/>
              </w:rPr>
              <w:t>3.2. Ietekme uz vidi – nav.</w:t>
            </w:r>
          </w:p>
          <w:p w14:paraId="5F6F9995" w14:textId="77777777" w:rsidR="0012191F" w:rsidRDefault="0012191F" w:rsidP="00B16B00">
            <w:pPr>
              <w:spacing w:before="280" w:after="280"/>
            </w:pPr>
            <w:r>
              <w:rPr>
                <w:lang w:eastAsia="lv-LV"/>
              </w:rPr>
              <w:t>3.3. Ietekme uz iedzīvotāju veselību – nav.</w:t>
            </w:r>
          </w:p>
          <w:p w14:paraId="5763DA32" w14:textId="77777777" w:rsidR="0012191F" w:rsidRDefault="0012191F" w:rsidP="00B16B00">
            <w:pPr>
              <w:spacing w:before="280"/>
              <w:jc w:val="both"/>
            </w:pPr>
            <w:r>
              <w:rPr>
                <w:lang w:eastAsia="lv-LV"/>
              </w:rPr>
              <w:t>3.4. Ietekme uz uzņēmējdarbības vidi pašvaldības teritorijā, konkurenci – nav.</w:t>
            </w:r>
          </w:p>
        </w:tc>
      </w:tr>
      <w:tr w:rsidR="0012191F" w14:paraId="3DFD0FB5" w14:textId="77777777" w:rsidTr="00B16B00">
        <w:trPr>
          <w:trHeight w:val="1218"/>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7265F3B2" w14:textId="77777777" w:rsidR="0012191F" w:rsidRDefault="0012191F" w:rsidP="00B16B00">
            <w:pPr>
              <w:widowControl w:val="0"/>
              <w:tabs>
                <w:tab w:val="left" w:pos="777"/>
              </w:tabs>
              <w:spacing w:before="56"/>
              <w:ind w:left="57" w:right="623"/>
            </w:pPr>
            <w:r>
              <w:rPr>
                <w:b/>
              </w:rPr>
              <w:t>4.</w:t>
            </w:r>
            <w:r>
              <w:rPr>
                <w:b/>
              </w:rPr>
              <w:tab/>
            </w:r>
            <w:r>
              <w:t>Ietekme</w:t>
            </w:r>
            <w:r>
              <w:rPr>
                <w:spacing w:val="-15"/>
              </w:rPr>
              <w:t xml:space="preserve"> </w:t>
            </w:r>
            <w:r>
              <w:t>uz</w:t>
            </w:r>
            <w:r>
              <w:rPr>
                <w:spacing w:val="-57"/>
              </w:rPr>
              <w:t xml:space="preserve"> </w:t>
            </w:r>
            <w:r>
              <w:t>administratīvajām</w:t>
            </w:r>
            <w:r>
              <w:rPr>
                <w:spacing w:val="-57"/>
              </w:rPr>
              <w:t xml:space="preserve"> </w:t>
            </w:r>
            <w:r>
              <w:t>procedūrām un to</w:t>
            </w:r>
            <w:r>
              <w:rPr>
                <w:spacing w:val="1"/>
              </w:rPr>
              <w:t xml:space="preserve"> </w:t>
            </w:r>
            <w:r>
              <w:t>izmaksām</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4C42E94D" w14:textId="77777777" w:rsidR="0012191F" w:rsidRDefault="0012191F" w:rsidP="00B16B00">
            <w:pPr>
              <w:widowControl w:val="0"/>
              <w:spacing w:before="56"/>
              <w:ind w:left="57" w:right="46"/>
              <w:jc w:val="both"/>
            </w:pPr>
            <w:r>
              <w:t>Noteikumu izpildi nodrošina Pašvaldības pilnvarotā kapitālsabiedrība SIA “DOBELES NAMSAIMNIEKS”.</w:t>
            </w:r>
          </w:p>
        </w:tc>
      </w:tr>
      <w:tr w:rsidR="0012191F" w14:paraId="6DDDBA51" w14:textId="77777777" w:rsidTr="00B16B00">
        <w:trPr>
          <w:trHeight w:val="1120"/>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30505956" w14:textId="77777777" w:rsidR="0012191F" w:rsidRDefault="0012191F" w:rsidP="00B16B00">
            <w:pPr>
              <w:widowControl w:val="0"/>
              <w:tabs>
                <w:tab w:val="left" w:pos="777"/>
              </w:tabs>
              <w:spacing w:before="56"/>
              <w:ind w:left="57" w:right="251"/>
            </w:pPr>
            <w:r>
              <w:rPr>
                <w:b/>
              </w:rPr>
              <w:t>5.</w:t>
            </w:r>
            <w:r>
              <w:rPr>
                <w:b/>
              </w:rPr>
              <w:tab/>
            </w:r>
            <w:r>
              <w:t>Ietekme uz</w:t>
            </w:r>
            <w:r>
              <w:rPr>
                <w:spacing w:val="1"/>
              </w:rPr>
              <w:t xml:space="preserve"> </w:t>
            </w:r>
            <w:r>
              <w:rPr>
                <w:spacing w:val="-1"/>
              </w:rPr>
              <w:t xml:space="preserve">pašvaldības </w:t>
            </w:r>
            <w:r>
              <w:t>funkcijām</w:t>
            </w:r>
            <w:r>
              <w:rPr>
                <w:spacing w:val="-57"/>
              </w:rPr>
              <w:t xml:space="preserve"> </w:t>
            </w:r>
            <w:r>
              <w:t>un</w:t>
            </w:r>
            <w:r>
              <w:rPr>
                <w:spacing w:val="-2"/>
              </w:rPr>
              <w:t xml:space="preserve"> </w:t>
            </w:r>
            <w:r>
              <w:t>cilvēkresursiem</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15801621" w14:textId="77777777" w:rsidR="0012191F" w:rsidRDefault="0012191F" w:rsidP="00B16B00">
            <w:pPr>
              <w:widowControl w:val="0"/>
              <w:spacing w:before="56"/>
              <w:ind w:left="57" w:right="41"/>
              <w:jc w:val="both"/>
            </w:pPr>
            <w:r>
              <w:t xml:space="preserve">Nav būtiskas ietekmes uz pašvaldības funkcijām un cilvēkresursiem. </w:t>
            </w:r>
          </w:p>
        </w:tc>
      </w:tr>
      <w:tr w:rsidR="0012191F" w14:paraId="6039D2B6" w14:textId="77777777" w:rsidTr="00B16B00">
        <w:trPr>
          <w:trHeight w:val="942"/>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6E419675" w14:textId="77777777" w:rsidR="0012191F" w:rsidRDefault="0012191F" w:rsidP="00B16B00">
            <w:pPr>
              <w:widowControl w:val="0"/>
              <w:tabs>
                <w:tab w:val="left" w:pos="777"/>
              </w:tabs>
              <w:spacing w:before="56"/>
              <w:ind w:left="57" w:right="197"/>
            </w:pPr>
            <w:r>
              <w:rPr>
                <w:b/>
              </w:rPr>
              <w:lastRenderedPageBreak/>
              <w:t>6.</w:t>
            </w:r>
            <w:r>
              <w:rPr>
                <w:b/>
              </w:rPr>
              <w:tab/>
            </w:r>
            <w:r>
              <w:rPr>
                <w:spacing w:val="-1"/>
              </w:rPr>
              <w:t xml:space="preserve">Informācija </w:t>
            </w:r>
            <w:r>
              <w:t>par</w:t>
            </w:r>
            <w:r>
              <w:rPr>
                <w:spacing w:val="-57"/>
              </w:rPr>
              <w:t xml:space="preserve"> </w:t>
            </w:r>
            <w:r>
              <w:t>izpildes</w:t>
            </w:r>
            <w:r>
              <w:rPr>
                <w:spacing w:val="-2"/>
              </w:rPr>
              <w:t xml:space="preserve"> </w:t>
            </w:r>
            <w:r>
              <w:t>nodrošināšanu</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6535E908" w14:textId="77777777" w:rsidR="0012191F" w:rsidRDefault="0012191F" w:rsidP="00B16B00">
            <w:pPr>
              <w:widowControl w:val="0"/>
              <w:spacing w:before="56"/>
              <w:ind w:left="57" w:right="237"/>
            </w:pPr>
            <w:r>
              <w:t>Saistošo noteikumu izpildē jauno institūciju izveidi neparedz.</w:t>
            </w:r>
          </w:p>
        </w:tc>
      </w:tr>
      <w:tr w:rsidR="0012191F" w14:paraId="49C46EFD" w14:textId="77777777" w:rsidTr="00B16B00">
        <w:trPr>
          <w:trHeight w:val="1520"/>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25558528" w14:textId="77777777" w:rsidR="0012191F" w:rsidRDefault="0012191F" w:rsidP="00B16B00">
            <w:pPr>
              <w:widowControl w:val="0"/>
              <w:tabs>
                <w:tab w:val="left" w:pos="777"/>
              </w:tabs>
              <w:spacing w:before="56"/>
              <w:ind w:left="57" w:right="383"/>
            </w:pPr>
            <w:r>
              <w:rPr>
                <w:b/>
              </w:rPr>
              <w:t>7.</w:t>
            </w:r>
            <w:r>
              <w:rPr>
                <w:b/>
              </w:rPr>
              <w:tab/>
            </w:r>
            <w:r>
              <w:t>Prasību un</w:t>
            </w:r>
            <w:r>
              <w:rPr>
                <w:spacing w:val="1"/>
              </w:rPr>
              <w:t xml:space="preserve"> </w:t>
            </w:r>
            <w:r>
              <w:t>izmaksu</w:t>
            </w:r>
            <w:r>
              <w:rPr>
                <w:spacing w:val="-15"/>
              </w:rPr>
              <w:t xml:space="preserve"> </w:t>
            </w:r>
            <w:r>
              <w:t>samērīgums</w:t>
            </w:r>
            <w:r>
              <w:rPr>
                <w:spacing w:val="-57"/>
              </w:rPr>
              <w:t xml:space="preserve"> </w:t>
            </w:r>
            <w:r>
              <w:t>pret ieguvumiem, ko</w:t>
            </w:r>
            <w:r>
              <w:rPr>
                <w:spacing w:val="-57"/>
              </w:rPr>
              <w:t xml:space="preserve"> </w:t>
            </w:r>
            <w:r>
              <w:t>sniedz mērķa</w:t>
            </w:r>
            <w:r>
              <w:rPr>
                <w:spacing w:val="1"/>
              </w:rPr>
              <w:t xml:space="preserve"> </w:t>
            </w:r>
            <w:r>
              <w:t>sasniegšana</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5CE21EBB" w14:textId="77777777" w:rsidR="0012191F" w:rsidRDefault="0012191F" w:rsidP="00B16B00">
            <w:pPr>
              <w:widowControl w:val="0"/>
              <w:spacing w:before="56"/>
              <w:ind w:left="57" w:right="42"/>
              <w:jc w:val="both"/>
            </w:pPr>
            <w:r>
              <w:t>Ar saistošajiem noteikumiem noteiktās prasības ir samērīgas attiecībā pret ieguvumiem, ko sniedz saistošo noteikumu mērķa sasniegšana.</w:t>
            </w:r>
          </w:p>
          <w:p w14:paraId="69C1C58C" w14:textId="77777777" w:rsidR="0012191F" w:rsidRDefault="0012191F" w:rsidP="00B16B00">
            <w:pPr>
              <w:widowControl w:val="0"/>
              <w:spacing w:before="56"/>
              <w:ind w:right="42"/>
              <w:jc w:val="both"/>
            </w:pPr>
          </w:p>
        </w:tc>
      </w:tr>
      <w:tr w:rsidR="0012191F" w14:paraId="6C22B5C0" w14:textId="77777777" w:rsidTr="00B16B00">
        <w:trPr>
          <w:trHeight w:val="1771"/>
        </w:trPr>
        <w:tc>
          <w:tcPr>
            <w:tcW w:w="2473" w:type="dxa"/>
            <w:tcBorders>
              <w:top w:val="single" w:sz="6" w:space="0" w:color="000000"/>
              <w:left w:val="single" w:sz="6" w:space="0" w:color="000000"/>
              <w:bottom w:val="single" w:sz="6" w:space="0" w:color="000000"/>
              <w:right w:val="single" w:sz="6" w:space="0" w:color="000000"/>
            </w:tcBorders>
            <w:shd w:val="clear" w:color="auto" w:fill="auto"/>
          </w:tcPr>
          <w:p w14:paraId="0FE2C5AB" w14:textId="77777777" w:rsidR="0012191F" w:rsidRDefault="0012191F" w:rsidP="00B16B00">
            <w:pPr>
              <w:widowControl w:val="0"/>
              <w:tabs>
                <w:tab w:val="left" w:pos="777"/>
              </w:tabs>
              <w:spacing w:before="56"/>
              <w:ind w:left="57" w:right="163"/>
            </w:pPr>
            <w:r>
              <w:rPr>
                <w:b/>
              </w:rPr>
              <w:t>8.</w:t>
            </w:r>
            <w:r>
              <w:rPr>
                <w:b/>
              </w:rPr>
              <w:tab/>
            </w:r>
            <w:r>
              <w:t>Izstrādes gaitā</w:t>
            </w:r>
            <w:r>
              <w:rPr>
                <w:spacing w:val="1"/>
              </w:rPr>
              <w:t xml:space="preserve"> </w:t>
            </w:r>
            <w:r>
              <w:t>veiktās</w:t>
            </w:r>
            <w:r>
              <w:rPr>
                <w:spacing w:val="-8"/>
              </w:rPr>
              <w:t xml:space="preserve"> </w:t>
            </w:r>
            <w:r>
              <w:t>konsultācijas</w:t>
            </w:r>
            <w:r>
              <w:rPr>
                <w:spacing w:val="-9"/>
              </w:rPr>
              <w:t xml:space="preserve"> </w:t>
            </w:r>
            <w:r>
              <w:t>ar</w:t>
            </w:r>
            <w:r>
              <w:rPr>
                <w:spacing w:val="-57"/>
              </w:rPr>
              <w:t xml:space="preserve"> </w:t>
            </w:r>
            <w:r>
              <w:t>privātpersonām un</w:t>
            </w:r>
            <w:r>
              <w:rPr>
                <w:spacing w:val="1"/>
              </w:rPr>
              <w:t xml:space="preserve"> </w:t>
            </w:r>
            <w:r>
              <w:t>institūcijām</w:t>
            </w:r>
          </w:p>
        </w:tc>
        <w:tc>
          <w:tcPr>
            <w:tcW w:w="7150" w:type="dxa"/>
            <w:tcBorders>
              <w:top w:val="single" w:sz="6" w:space="0" w:color="000000"/>
              <w:left w:val="single" w:sz="6" w:space="0" w:color="000000"/>
              <w:bottom w:val="single" w:sz="6" w:space="0" w:color="000000"/>
              <w:right w:val="single" w:sz="6" w:space="0" w:color="000000"/>
            </w:tcBorders>
            <w:shd w:val="clear" w:color="auto" w:fill="auto"/>
          </w:tcPr>
          <w:p w14:paraId="09C5D7DD" w14:textId="77777777" w:rsidR="0012191F" w:rsidRDefault="0012191F" w:rsidP="00B16B00">
            <w:pPr>
              <w:tabs>
                <w:tab w:val="left" w:pos="8364"/>
              </w:tabs>
              <w:snapToGrid w:val="0"/>
              <w:jc w:val="both"/>
            </w:pPr>
            <w:r>
              <w:rPr>
                <w:color w:val="000000"/>
              </w:rPr>
              <w:t>8.1. Noteikumu izstrādes procesā notikušas konsultācijas ar  to izpildes nodrošināšanā iesaistītajām institūcijām – SIA “DOBELES NAMSAIMNIEKS”, Dobeles novada pašvaldības Dzīvokļa jautājumu komisiju.</w:t>
            </w:r>
          </w:p>
          <w:p w14:paraId="05F6E93E" w14:textId="77777777" w:rsidR="0012191F" w:rsidRDefault="0012191F" w:rsidP="00B16B00">
            <w:pPr>
              <w:tabs>
                <w:tab w:val="left" w:pos="8364"/>
              </w:tabs>
              <w:snapToGrid w:val="0"/>
              <w:jc w:val="both"/>
            </w:pPr>
          </w:p>
          <w:p w14:paraId="6C5EAC96" w14:textId="77777777" w:rsidR="0012191F" w:rsidRDefault="0012191F" w:rsidP="00B16B00">
            <w:pPr>
              <w:spacing w:line="285" w:lineRule="atLeast"/>
              <w:jc w:val="both"/>
            </w:pPr>
            <w:r>
              <w:rPr>
                <w:color w:val="000000"/>
              </w:rPr>
              <w:t>8.2. Sabiedrības līdzdalības veids – informācijas publicēšana pašvaldības tīmekļvietnē un iesniegto priekšlikumu izvērtēšana.</w:t>
            </w:r>
          </w:p>
          <w:p w14:paraId="070FF81F" w14:textId="77777777" w:rsidR="0012191F" w:rsidRDefault="0012191F" w:rsidP="00B16B00">
            <w:pPr>
              <w:spacing w:line="285" w:lineRule="atLeast"/>
              <w:jc w:val="both"/>
            </w:pPr>
            <w:r>
              <w:rPr>
                <w:color w:val="000000"/>
              </w:rPr>
              <w:t xml:space="preserve"> </w:t>
            </w:r>
          </w:p>
          <w:p w14:paraId="0AAE7A08" w14:textId="44062695" w:rsidR="0012191F" w:rsidRDefault="0012191F" w:rsidP="00B16B00">
            <w:pPr>
              <w:spacing w:line="285" w:lineRule="atLeast"/>
              <w:jc w:val="both"/>
            </w:pPr>
            <w:r>
              <w:rPr>
                <w:color w:val="000000"/>
              </w:rPr>
              <w:t xml:space="preserve">8.3. Noteikumu projekts bija publicēts pašvaldības tīmekļvietnē </w:t>
            </w:r>
            <w:hyperlink r:id="rId6" w:history="1">
              <w:r>
                <w:rPr>
                  <w:rStyle w:val="ListLabel60"/>
                  <w:color w:val="000000"/>
                </w:rPr>
                <w:t>www.dobele.lv</w:t>
              </w:r>
            </w:hyperlink>
            <w:r>
              <w:rPr>
                <w:color w:val="000000"/>
              </w:rPr>
              <w:t xml:space="preserve"> no </w:t>
            </w:r>
            <w:r w:rsidRPr="0012191F">
              <w:rPr>
                <w:b/>
                <w:bCs/>
                <w:color w:val="000000"/>
              </w:rPr>
              <w:t xml:space="preserve">2024. gada 11. decembra līdz 2024. gada </w:t>
            </w:r>
            <w:r w:rsidR="00727095">
              <w:rPr>
                <w:b/>
                <w:bCs/>
                <w:color w:val="000000"/>
              </w:rPr>
              <w:t>25.decembrim</w:t>
            </w:r>
            <w:r>
              <w:rPr>
                <w:color w:val="000000"/>
              </w:rPr>
              <w:t xml:space="preserve"> (ieskaitot). </w:t>
            </w:r>
          </w:p>
          <w:p w14:paraId="628C444B" w14:textId="77777777" w:rsidR="0012191F" w:rsidRDefault="0012191F" w:rsidP="00B16B00">
            <w:pPr>
              <w:spacing w:line="285" w:lineRule="atLeast"/>
              <w:rPr>
                <w:color w:val="000000"/>
              </w:rPr>
            </w:pPr>
          </w:p>
          <w:p w14:paraId="3A24E4B6" w14:textId="77777777" w:rsidR="0012191F" w:rsidRDefault="0012191F" w:rsidP="00B16B00">
            <w:pPr>
              <w:spacing w:line="285" w:lineRule="atLeast"/>
              <w:jc w:val="both"/>
            </w:pPr>
            <w:r>
              <w:rPr>
                <w:color w:val="000000"/>
                <w:lang w:eastAsia="lv-LV"/>
              </w:rPr>
              <w:t xml:space="preserve">8.4. Publicēšanas laikā par noteikumu projektu </w:t>
            </w:r>
            <w:r>
              <w:rPr>
                <w:b/>
                <w:bCs/>
                <w:color w:val="000000"/>
                <w:lang w:eastAsia="lv-LV"/>
              </w:rPr>
              <w:t>tika/ netika</w:t>
            </w:r>
            <w:r>
              <w:rPr>
                <w:color w:val="000000"/>
                <w:lang w:eastAsia="lv-LV"/>
              </w:rPr>
              <w:t xml:space="preserve"> saņemti sabiedrības viedokļi.</w:t>
            </w:r>
          </w:p>
          <w:p w14:paraId="3466F070" w14:textId="77777777" w:rsidR="0012191F" w:rsidRDefault="0012191F" w:rsidP="00B16B00">
            <w:pPr>
              <w:spacing w:line="285" w:lineRule="atLeast"/>
              <w:jc w:val="both"/>
              <w:rPr>
                <w:b/>
                <w:bCs/>
                <w:color w:val="000000"/>
              </w:rPr>
            </w:pPr>
          </w:p>
        </w:tc>
      </w:tr>
    </w:tbl>
    <w:p w14:paraId="0AA38861" w14:textId="77777777" w:rsidR="0012191F" w:rsidRDefault="0012191F" w:rsidP="0012191F">
      <w:pPr>
        <w:pStyle w:val="Pamatteksts"/>
        <w:tabs>
          <w:tab w:val="left" w:pos="8062"/>
        </w:tabs>
        <w:spacing w:before="90"/>
      </w:pPr>
    </w:p>
    <w:p w14:paraId="3EB3AE01" w14:textId="77777777" w:rsidR="0012191F" w:rsidRDefault="0012191F" w:rsidP="0012191F">
      <w:pPr>
        <w:pStyle w:val="Pamatteksts"/>
        <w:tabs>
          <w:tab w:val="left" w:pos="8062"/>
        </w:tabs>
        <w:spacing w:before="90"/>
      </w:pPr>
    </w:p>
    <w:p w14:paraId="0E27421F" w14:textId="77777777" w:rsidR="0012191F" w:rsidRDefault="0012191F" w:rsidP="0012191F">
      <w:pPr>
        <w:pStyle w:val="Pamatteksts"/>
        <w:tabs>
          <w:tab w:val="left" w:pos="8062"/>
        </w:tabs>
        <w:spacing w:before="90"/>
      </w:pPr>
    </w:p>
    <w:p w14:paraId="13204601" w14:textId="77777777" w:rsidR="0012191F" w:rsidRDefault="0012191F" w:rsidP="0012191F">
      <w:pPr>
        <w:pStyle w:val="Pamatteksts"/>
        <w:tabs>
          <w:tab w:val="left" w:pos="8062"/>
        </w:tabs>
        <w:spacing w:before="90"/>
      </w:pPr>
      <w:r>
        <w:rPr>
          <w:sz w:val="24"/>
          <w:szCs w:val="24"/>
          <w:lang w:val="lv-LV"/>
        </w:rPr>
        <w:t>Domes</w:t>
      </w:r>
      <w:r>
        <w:rPr>
          <w:spacing w:val="-4"/>
          <w:sz w:val="24"/>
          <w:szCs w:val="24"/>
          <w:lang w:val="lv-LV"/>
        </w:rPr>
        <w:t xml:space="preserve"> </w:t>
      </w:r>
      <w:r>
        <w:rPr>
          <w:sz w:val="24"/>
          <w:szCs w:val="24"/>
          <w:lang w:val="lv-LV"/>
        </w:rPr>
        <w:t>priekšsēdētājs                                                                                  I.Gorskis</w:t>
      </w:r>
      <w:bookmarkStart w:id="2" w:name="_Hlk155942552"/>
      <w:bookmarkEnd w:id="2"/>
    </w:p>
    <w:p w14:paraId="6FD8240D" w14:textId="77777777" w:rsidR="00FC3353" w:rsidRDefault="00FC3353"/>
    <w:sectPr w:rsidR="00FC3353" w:rsidSect="0012191F">
      <w:pgSz w:w="11910" w:h="16840"/>
      <w:pgMar w:top="1134" w:right="567" w:bottom="1134" w:left="1701" w:header="0" w:footer="1055"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1F"/>
    <w:rsid w:val="001065D8"/>
    <w:rsid w:val="0012191F"/>
    <w:rsid w:val="00727095"/>
    <w:rsid w:val="00BA738E"/>
    <w:rsid w:val="00FC3353"/>
    <w:rsid w:val="00FD0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D78A"/>
  <w15:chartTrackingRefBased/>
  <w15:docId w15:val="{A04C3679-95F5-4E80-BBB0-CF1AEED7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191F"/>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2191F"/>
    <w:rPr>
      <w:color w:val="0000FF"/>
      <w:u w:val="single"/>
    </w:rPr>
  </w:style>
  <w:style w:type="character" w:customStyle="1" w:styleId="ListLabel60">
    <w:name w:val="ListLabel 60"/>
    <w:rsid w:val="0012191F"/>
    <w:rPr>
      <w:rFonts w:ascii="Times New Roman" w:eastAsia="Times New Roman" w:hAnsi="Times New Roman" w:cs="Times New Roman"/>
      <w:sz w:val="24"/>
      <w:szCs w:val="24"/>
      <w:u w:val="single"/>
    </w:rPr>
  </w:style>
  <w:style w:type="paragraph" w:styleId="Pamatteksts">
    <w:name w:val="Body Text"/>
    <w:basedOn w:val="Parasts"/>
    <w:link w:val="PamattekstsRakstz"/>
    <w:rsid w:val="0012191F"/>
    <w:pPr>
      <w:widowControl w:val="0"/>
      <w:autoSpaceDE w:val="0"/>
    </w:pPr>
    <w:rPr>
      <w:sz w:val="22"/>
      <w:szCs w:val="22"/>
      <w:lang w:val="x-none"/>
    </w:rPr>
  </w:style>
  <w:style w:type="character" w:customStyle="1" w:styleId="PamattekstsRakstz">
    <w:name w:val="Pamatteksts Rakstz."/>
    <w:basedOn w:val="Noklusjumarindkopasfonts"/>
    <w:link w:val="Pamatteksts"/>
    <w:rsid w:val="0012191F"/>
    <w:rPr>
      <w:rFonts w:ascii="Times New Roman" w:eastAsia="Times New Roman" w:hAnsi="Times New Roman" w:cs="Times New Roman"/>
      <w:kern w:val="0"/>
      <w:lang w:val="x-none" w:eastAsia="zh-CN"/>
      <w14:ligatures w14:val="none"/>
    </w:rPr>
  </w:style>
  <w:style w:type="paragraph" w:styleId="Galvene">
    <w:name w:val="header"/>
    <w:basedOn w:val="Parasts"/>
    <w:link w:val="GalveneRakstz"/>
    <w:rsid w:val="0012191F"/>
    <w:pPr>
      <w:tabs>
        <w:tab w:val="center" w:pos="4153"/>
        <w:tab w:val="right" w:pos="8306"/>
      </w:tabs>
    </w:pPr>
    <w:rPr>
      <w:lang w:val="x-none"/>
    </w:rPr>
  </w:style>
  <w:style w:type="character" w:customStyle="1" w:styleId="GalveneRakstz">
    <w:name w:val="Galvene Rakstz."/>
    <w:basedOn w:val="Noklusjumarindkopasfonts"/>
    <w:link w:val="Galvene"/>
    <w:rsid w:val="0012191F"/>
    <w:rPr>
      <w:rFonts w:ascii="Times New Roman" w:eastAsia="Times New Roman" w:hAnsi="Times New Roman" w:cs="Times New Roman"/>
      <w:kern w:val="0"/>
      <w:sz w:val="24"/>
      <w:szCs w:val="24"/>
      <w:lang w:val="x-none" w:eastAsia="zh-CN"/>
      <w14:ligatures w14:val="none"/>
    </w:rPr>
  </w:style>
  <w:style w:type="paragraph" w:customStyle="1" w:styleId="Bezatstarpm1">
    <w:name w:val="Bez atstarpēm1"/>
    <w:rsid w:val="0012191F"/>
    <w:pPr>
      <w:suppressAutoHyphens/>
      <w:spacing w:after="0" w:line="240" w:lineRule="auto"/>
    </w:pPr>
    <w:rPr>
      <w:rFonts w:ascii="Calibri" w:eastAsia="Calibri" w:hAnsi="Calibri" w:cs="Calibri"/>
      <w:kern w:val="0"/>
      <w:lang w:eastAsia="zh-CN"/>
      <w14:ligatures w14:val="none"/>
    </w:rPr>
  </w:style>
  <w:style w:type="paragraph" w:customStyle="1" w:styleId="Default">
    <w:name w:val="Default"/>
    <w:rsid w:val="0012191F"/>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2701</Words>
  <Characters>1540</Characters>
  <Application>Microsoft Office Word</Application>
  <DocSecurity>0</DocSecurity>
  <Lines>12</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2024-12-11T14:32:00Z</dcterms:created>
  <dcterms:modified xsi:type="dcterms:W3CDTF">2024-12-11T14:37:00Z</dcterms:modified>
</cp:coreProperties>
</file>