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Light"/>
        <w:tblW w:w="9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997"/>
        <w:gridCol w:w="1551"/>
        <w:gridCol w:w="1940"/>
        <w:gridCol w:w="1882"/>
        <w:gridCol w:w="25"/>
      </w:tblGrid>
      <w:tr w:rsidR="00010DF7" w14:paraId="009C737B" w14:textId="77777777" w:rsidTr="00522F00">
        <w:trPr>
          <w:gridAfter w:val="1"/>
          <w:wAfter w:w="25" w:type="dxa"/>
        </w:trPr>
        <w:tc>
          <w:tcPr>
            <w:tcW w:w="3402" w:type="dxa"/>
          </w:tcPr>
          <w:p w14:paraId="34813FD4" w14:textId="77777777" w:rsidR="00010DF7" w:rsidRDefault="00010DF7" w:rsidP="0001529D">
            <w:pPr>
              <w:jc w:val="center"/>
              <w:rPr>
                <w:rFonts w:ascii="Times New Roman" w:hAnsi="Times New Roman" w:cs="Times New Roman"/>
                <w:sz w:val="24"/>
                <w:szCs w:val="24"/>
                <w:lang w:val="en-US"/>
              </w:rPr>
            </w:pPr>
          </w:p>
        </w:tc>
        <w:tc>
          <w:tcPr>
            <w:tcW w:w="2548" w:type="dxa"/>
            <w:gridSpan w:val="2"/>
          </w:tcPr>
          <w:p w14:paraId="5D7A66BB" w14:textId="77777777" w:rsidR="00EE7155" w:rsidRDefault="00EE7155" w:rsidP="00EE7155">
            <w:pPr>
              <w:jc w:val="center"/>
              <w:rPr>
                <w:rFonts w:ascii="Times New Roman" w:hAnsi="Times New Roman" w:cs="Times New Roman"/>
                <w:sz w:val="24"/>
                <w:szCs w:val="24"/>
                <w:lang w:val="en-US"/>
              </w:rPr>
            </w:pPr>
            <w:r>
              <w:rPr>
                <w:rFonts w:ascii="Times New Roman" w:hAnsi="Times New Roman" w:cs="Times New Roman"/>
                <w:sz w:val="24"/>
                <w:szCs w:val="24"/>
                <w:lang w:val="en-US"/>
              </w:rPr>
              <w:t>R</w:t>
            </w:r>
            <w:r>
              <w:rPr>
                <w:rFonts w:ascii="Times New Roman" w:hAnsi="Times New Roman" w:cs="Times New Roman"/>
                <w:sz w:val="24"/>
                <w:szCs w:val="24"/>
              </w:rPr>
              <w:t>ī</w:t>
            </w:r>
            <w:r>
              <w:rPr>
                <w:rFonts w:ascii="Times New Roman" w:hAnsi="Times New Roman" w:cs="Times New Roman"/>
                <w:sz w:val="24"/>
                <w:szCs w:val="24"/>
                <w:lang w:val="en-US"/>
              </w:rPr>
              <w:t>gā</w:t>
            </w:r>
          </w:p>
          <w:p w14:paraId="3BC3EF0C" w14:textId="77777777" w:rsidR="00010DF7" w:rsidRPr="00010DF7" w:rsidRDefault="00010DF7" w:rsidP="0001529D">
            <w:pPr>
              <w:jc w:val="center"/>
              <w:rPr>
                <w:rFonts w:ascii="Times New Roman" w:hAnsi="Times New Roman" w:cs="Times New Roman"/>
                <w:b/>
                <w:sz w:val="24"/>
                <w:szCs w:val="24"/>
                <w:lang w:val="en-US"/>
              </w:rPr>
            </w:pPr>
          </w:p>
        </w:tc>
        <w:tc>
          <w:tcPr>
            <w:tcW w:w="3822" w:type="dxa"/>
            <w:gridSpan w:val="2"/>
          </w:tcPr>
          <w:p w14:paraId="66B67467" w14:textId="77777777" w:rsidR="00010DF7" w:rsidRDefault="00010DF7" w:rsidP="0001529D">
            <w:pPr>
              <w:jc w:val="center"/>
              <w:rPr>
                <w:rFonts w:ascii="Times New Roman" w:hAnsi="Times New Roman" w:cs="Times New Roman"/>
                <w:sz w:val="24"/>
                <w:szCs w:val="24"/>
                <w:lang w:val="en-US"/>
              </w:rPr>
            </w:pPr>
          </w:p>
        </w:tc>
      </w:tr>
      <w:tr w:rsidR="0001529D" w14:paraId="311E1F65" w14:textId="77777777" w:rsidTr="00522F00">
        <w:trPr>
          <w:gridAfter w:val="1"/>
          <w:wAfter w:w="25" w:type="dxa"/>
        </w:trPr>
        <w:tc>
          <w:tcPr>
            <w:tcW w:w="3402" w:type="dxa"/>
          </w:tcPr>
          <w:p w14:paraId="0D06E3EB" w14:textId="77777777" w:rsidR="0001529D" w:rsidRDefault="0001529D" w:rsidP="0001529D">
            <w:pPr>
              <w:jc w:val="center"/>
              <w:rPr>
                <w:rFonts w:ascii="Times New Roman" w:hAnsi="Times New Roman" w:cs="Times New Roman"/>
                <w:sz w:val="24"/>
                <w:szCs w:val="24"/>
                <w:lang w:val="en-US"/>
              </w:rPr>
            </w:pPr>
          </w:p>
        </w:tc>
        <w:tc>
          <w:tcPr>
            <w:tcW w:w="2548" w:type="dxa"/>
            <w:gridSpan w:val="2"/>
          </w:tcPr>
          <w:p w14:paraId="5C62649E" w14:textId="77777777" w:rsidR="00191F89" w:rsidRDefault="00191F89" w:rsidP="00903B09">
            <w:pPr>
              <w:rPr>
                <w:rFonts w:ascii="Times New Roman" w:hAnsi="Times New Roman" w:cs="Times New Roman"/>
                <w:sz w:val="24"/>
                <w:szCs w:val="24"/>
                <w:lang w:val="en-US"/>
              </w:rPr>
            </w:pPr>
          </w:p>
        </w:tc>
        <w:tc>
          <w:tcPr>
            <w:tcW w:w="3822" w:type="dxa"/>
            <w:gridSpan w:val="2"/>
          </w:tcPr>
          <w:p w14:paraId="45BAFA38" w14:textId="77777777" w:rsidR="0001529D" w:rsidRDefault="0001529D" w:rsidP="0001529D">
            <w:pPr>
              <w:jc w:val="center"/>
              <w:rPr>
                <w:rFonts w:ascii="Times New Roman" w:hAnsi="Times New Roman" w:cs="Times New Roman"/>
                <w:sz w:val="24"/>
                <w:szCs w:val="24"/>
                <w:lang w:val="en-US"/>
              </w:rPr>
            </w:pPr>
          </w:p>
        </w:tc>
      </w:tr>
      <w:tr w:rsidR="00E02A7C" w14:paraId="194D35FA" w14:textId="77777777" w:rsidTr="00E02A7C">
        <w:tc>
          <w:tcPr>
            <w:tcW w:w="4399" w:type="dxa"/>
            <w:gridSpan w:val="2"/>
          </w:tcPr>
          <w:p w14:paraId="6BA7327E" w14:textId="77777777" w:rsidR="00E02A7C" w:rsidRPr="00A240C3" w:rsidRDefault="00E02A7C" w:rsidP="00E02A7C">
            <w:pPr>
              <w:rPr>
                <w:rFonts w:ascii="Times New Roman" w:hAnsi="Times New Roman" w:cs="Times New Roman"/>
                <w:sz w:val="24"/>
                <w:szCs w:val="24"/>
                <w:lang w:val="ru-RU"/>
              </w:rPr>
            </w:pPr>
          </w:p>
        </w:tc>
        <w:tc>
          <w:tcPr>
            <w:tcW w:w="3491" w:type="dxa"/>
            <w:gridSpan w:val="2"/>
          </w:tcPr>
          <w:p w14:paraId="0848EC96" w14:textId="77777777" w:rsidR="00E02A7C" w:rsidRDefault="00E02A7C" w:rsidP="00970B7F">
            <w:pPr>
              <w:rPr>
                <w:rFonts w:ascii="Times New Roman" w:hAnsi="Times New Roman" w:cs="Times New Roman"/>
                <w:sz w:val="24"/>
                <w:szCs w:val="24"/>
                <w:lang w:val="en-US"/>
              </w:rPr>
            </w:pPr>
          </w:p>
        </w:tc>
        <w:tc>
          <w:tcPr>
            <w:tcW w:w="1907" w:type="dxa"/>
            <w:gridSpan w:val="2"/>
          </w:tcPr>
          <w:p w14:paraId="70A8DDAD" w14:textId="77777777" w:rsidR="00E02A7C" w:rsidRDefault="00970B7F" w:rsidP="00903B09">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p>
        </w:tc>
      </w:tr>
    </w:tbl>
    <w:p w14:paraId="421C82AD" w14:textId="77777777" w:rsidR="000F7DC7" w:rsidRDefault="000F7DC7" w:rsidP="0088783E">
      <w:pPr>
        <w:spacing w:after="0" w:line="240" w:lineRule="auto"/>
        <w:rPr>
          <w:rFonts w:ascii="Times New Roman" w:hAnsi="Times New Roman" w:cs="Times New Roman"/>
          <w:sz w:val="24"/>
          <w:szCs w:val="24"/>
          <w:lang w:val="en-US"/>
        </w:rPr>
        <w:sectPr w:rsidR="000F7DC7" w:rsidSect="00EA6235">
          <w:headerReference w:type="first" r:id="rId7"/>
          <w:type w:val="continuous"/>
          <w:pgSz w:w="11906" w:h="16838"/>
          <w:pgMar w:top="1134" w:right="707" w:bottom="1134" w:left="1418" w:header="993" w:footer="708" w:gutter="0"/>
          <w:cols w:space="708"/>
          <w:titlePg/>
          <w:docGrid w:linePitch="360"/>
        </w:sectPr>
      </w:pPr>
    </w:p>
    <w:tbl>
      <w:tblPr>
        <w:tblStyle w:val="TableGridLight"/>
        <w:tblW w:w="9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2"/>
        <w:gridCol w:w="4335"/>
      </w:tblGrid>
      <w:tr w:rsidR="00F038AC" w14:paraId="4C39F6DF" w14:textId="77777777" w:rsidTr="00410E4B">
        <w:tc>
          <w:tcPr>
            <w:tcW w:w="4399" w:type="dxa"/>
          </w:tcPr>
          <w:p w14:paraId="5ACDEBEE" w14:textId="77777777" w:rsidR="00F038AC" w:rsidRDefault="0073544B" w:rsidP="00410E4B">
            <w:pPr>
              <w:rPr>
                <w:rFonts w:ascii="Times New Roman" w:hAnsi="Times New Roman" w:cs="Times New Roman"/>
                <w:sz w:val="24"/>
                <w:szCs w:val="24"/>
                <w:lang w:val="en-US"/>
              </w:rPr>
            </w:pPr>
            <w:r w:rsidRPr="0073544B">
              <w:rPr>
                <w:rFonts w:ascii="Times New Roman" w:hAnsi="Times New Roman" w:cs="Times New Roman"/>
                <w:sz w:val="24"/>
                <w:szCs w:val="24"/>
                <w:lang w:val="en-US"/>
              </w:rPr>
              <w:t>Dokumenta datums skatāms laika zīmogā</w:t>
            </w:r>
          </w:p>
          <w:p w14:paraId="28E0F56F" w14:textId="77777777" w:rsidR="00F038AC" w:rsidRPr="00D77D27" w:rsidRDefault="00F038AC" w:rsidP="00410E4B">
            <w:pPr>
              <w:rPr>
                <w:rFonts w:ascii="Times New Roman" w:hAnsi="Times New Roman" w:cs="Times New Roman"/>
                <w:sz w:val="24"/>
                <w:szCs w:val="24"/>
                <w:lang w:val="en-US"/>
              </w:rPr>
            </w:pPr>
          </w:p>
        </w:tc>
        <w:tc>
          <w:tcPr>
            <w:tcW w:w="3491" w:type="dxa"/>
          </w:tcPr>
          <w:p w14:paraId="59347359" w14:textId="74E6FF36" w:rsidR="00F038AC" w:rsidRDefault="00F038AC" w:rsidP="00410E4B">
            <w:pPr>
              <w:rPr>
                <w:rFonts w:ascii="Times New Roman" w:hAnsi="Times New Roman" w:cs="Times New Roman"/>
                <w:sz w:val="24"/>
                <w:szCs w:val="24"/>
                <w:lang w:val="en-US"/>
              </w:rPr>
            </w:pPr>
            <w:r>
              <w:rPr>
                <w:rFonts w:ascii="Times New Roman" w:hAnsi="Times New Roman" w:cs="Times New Roman"/>
                <w:sz w:val="24"/>
                <w:szCs w:val="24"/>
                <w:lang w:val="en-US"/>
              </w:rPr>
              <w:t xml:space="preserve">Nr.  </w:t>
            </w:r>
            <w:r w:rsidR="006C50C4">
              <w:rPr>
                <w:rFonts w:ascii="Times New Roman" w:hAnsi="Times New Roman" w:cs="Times New Roman"/>
                <w:sz w:val="24"/>
                <w:szCs w:val="24"/>
                <w:lang w:val="en-US"/>
              </w:rPr>
              <w:t>1 – 2.1. – 6.3 / 207</w:t>
            </w:r>
          </w:p>
        </w:tc>
      </w:tr>
    </w:tbl>
    <w:p w14:paraId="4E3ED228" w14:textId="77777777" w:rsidR="00760160" w:rsidRDefault="00760160" w:rsidP="00760160">
      <w:pPr>
        <w:rPr>
          <w:b/>
        </w:rPr>
      </w:pPr>
    </w:p>
    <w:p w14:paraId="5B112D02" w14:textId="77777777" w:rsidR="00760160" w:rsidRPr="00760160" w:rsidRDefault="00760160" w:rsidP="00760160">
      <w:pPr>
        <w:jc w:val="right"/>
        <w:rPr>
          <w:rFonts w:ascii="Times New Roman" w:hAnsi="Times New Roman" w:cs="Times New Roman"/>
          <w:b/>
          <w:sz w:val="24"/>
          <w:szCs w:val="24"/>
        </w:rPr>
      </w:pPr>
      <w:r>
        <w:rPr>
          <w:b/>
        </w:rPr>
        <w:t xml:space="preserve">                                                                                                            </w:t>
      </w:r>
      <w:r w:rsidRPr="00760160">
        <w:rPr>
          <w:rFonts w:ascii="Times New Roman" w:hAnsi="Times New Roman" w:cs="Times New Roman"/>
          <w:b/>
          <w:sz w:val="24"/>
          <w:szCs w:val="24"/>
        </w:rPr>
        <w:t>Dobeles novada pašvaldībai</w:t>
      </w:r>
    </w:p>
    <w:p w14:paraId="1CFE9C40" w14:textId="77777777" w:rsidR="00760160" w:rsidRPr="00760160" w:rsidRDefault="00760160" w:rsidP="00760160">
      <w:pPr>
        <w:tabs>
          <w:tab w:val="left" w:pos="3210"/>
        </w:tabs>
        <w:jc w:val="right"/>
        <w:rPr>
          <w:rFonts w:ascii="Times New Roman" w:hAnsi="Times New Roman" w:cs="Times New Roman"/>
          <w:sz w:val="24"/>
          <w:szCs w:val="24"/>
        </w:rPr>
      </w:pPr>
      <w:r w:rsidRPr="00760160">
        <w:rPr>
          <w:rFonts w:ascii="Times New Roman" w:hAnsi="Times New Roman" w:cs="Times New Roman"/>
          <w:sz w:val="24"/>
          <w:szCs w:val="24"/>
        </w:rPr>
        <w:t>apic@dobele.lv</w:t>
      </w:r>
    </w:p>
    <w:p w14:paraId="65C1A7AB" w14:textId="6CB1CE99" w:rsidR="00760160" w:rsidRPr="00760160" w:rsidRDefault="00760160" w:rsidP="00D24EA7">
      <w:pPr>
        <w:rPr>
          <w:rFonts w:ascii="Times New Roman" w:hAnsi="Times New Roman" w:cs="Times New Roman"/>
          <w:color w:val="000000"/>
          <w:sz w:val="24"/>
          <w:szCs w:val="24"/>
        </w:rPr>
      </w:pPr>
    </w:p>
    <w:p w14:paraId="514A2975" w14:textId="77777777" w:rsidR="00760160" w:rsidRPr="00760160" w:rsidRDefault="00760160" w:rsidP="00090612">
      <w:pPr>
        <w:spacing w:line="360" w:lineRule="auto"/>
        <w:ind w:firstLine="720"/>
        <w:jc w:val="both"/>
        <w:rPr>
          <w:rFonts w:ascii="Times New Roman" w:hAnsi="Times New Roman" w:cs="Times New Roman"/>
          <w:color w:val="000000"/>
          <w:sz w:val="24"/>
          <w:szCs w:val="24"/>
        </w:rPr>
      </w:pPr>
      <w:r w:rsidRPr="00760160">
        <w:rPr>
          <w:rFonts w:ascii="Times New Roman" w:hAnsi="Times New Roman" w:cs="Times New Roman"/>
          <w:color w:val="000000"/>
          <w:sz w:val="24"/>
          <w:szCs w:val="24"/>
        </w:rPr>
        <w:t>Saskaņā ar Ministru kabineta 2006. gada 5. decembra noteikumu Nr. 982 “Enerģētikas infrastruktūras objektu aizsargjoslu noteikšanas metodika” 59.punkta prasībām “ogļūdeņražu ieguves vietu, naftas, naftas produktu, bīstamu ķīmisko vielu un produktu cauruļvadu, tilpņu, krātuvju, pārstrādes un pārkraušanas uzņēmumu īpašnieks vai valdītājs informē sabiedrību par aprobežojumiem aizsargjoslās un par bīstamību, kas saistīta ar uzturēšanos aizsargjoslās, minēto informāciju reizi gadā publicējot vietējā laikrakstā, kā arī nosūtot attiecīgajai pašvaldībai”.</w:t>
      </w:r>
    </w:p>
    <w:p w14:paraId="25253B48" w14:textId="77777777" w:rsidR="00760160" w:rsidRPr="00760160" w:rsidRDefault="00760160" w:rsidP="000C39EB">
      <w:pPr>
        <w:spacing w:line="360" w:lineRule="auto"/>
        <w:ind w:firstLine="720"/>
        <w:jc w:val="both"/>
        <w:rPr>
          <w:rFonts w:ascii="Times New Roman" w:hAnsi="Times New Roman" w:cs="Times New Roman"/>
          <w:color w:val="000000"/>
          <w:sz w:val="24"/>
          <w:szCs w:val="24"/>
        </w:rPr>
      </w:pPr>
      <w:r w:rsidRPr="00760160">
        <w:rPr>
          <w:rFonts w:ascii="Times New Roman" w:hAnsi="Times New Roman" w:cs="Times New Roman"/>
          <w:color w:val="000000"/>
          <w:sz w:val="24"/>
          <w:szCs w:val="24"/>
        </w:rPr>
        <w:t>Pamatojoties uz augstākminēto, informējam, ka Jūsu pašvaldības teritoriju, Bērzes, Jaunbērzes un Ukru pagastos, šķērso SIA “LatRosTrans” piederošie maģistrālie naftas un naftas produktu vadi, kuriem, saskaņā ar Aizsargjoslu likumu ir noteikta drošības aizsargjosla (minimālais platums – 25 metri no cauruļvada ass). Vispārīgie aprobežojumi aizsargjoslās ir noteikti Aizsargjoslu likuma 35.pantā. Papildus aprobežojumi aizsargjoslās ap ogļūdeņražu ieguves vietām, naftas, naftas produktu un bīstamu ķīmisko vielu un produktu cauruļvadiem, tilpnēm, krātuvēm, pārstrādes un pārkraušanas uzņēmumiem, degvielas uzpildes stacijām ir noteikti Aizsargjoslu likuma 57. pantā, tajā skaitā, bet ne tikai :</w:t>
      </w:r>
    </w:p>
    <w:p w14:paraId="20600177" w14:textId="77777777" w:rsidR="00760160" w:rsidRPr="00760160" w:rsidRDefault="00760160" w:rsidP="00090612">
      <w:pPr>
        <w:pStyle w:val="tv2132"/>
        <w:jc w:val="both"/>
        <w:rPr>
          <w:sz w:val="24"/>
          <w:szCs w:val="24"/>
        </w:rPr>
      </w:pPr>
      <w:r w:rsidRPr="00760160">
        <w:rPr>
          <w:color w:val="auto"/>
          <w:sz w:val="24"/>
          <w:szCs w:val="24"/>
        </w:rPr>
        <w:t>1) aizliegts ierīkot atkritumu apglabāšanas poligonus;</w:t>
      </w:r>
    </w:p>
    <w:p w14:paraId="1E24F093" w14:textId="77777777" w:rsidR="00760160" w:rsidRPr="00760160" w:rsidRDefault="00760160" w:rsidP="00090612">
      <w:pPr>
        <w:pStyle w:val="tv2132"/>
        <w:jc w:val="both"/>
        <w:rPr>
          <w:sz w:val="24"/>
          <w:szCs w:val="24"/>
        </w:rPr>
      </w:pPr>
      <w:r w:rsidRPr="00760160">
        <w:rPr>
          <w:color w:val="auto"/>
          <w:sz w:val="24"/>
          <w:szCs w:val="24"/>
        </w:rPr>
        <w:t>2) aizliegts nomest smagumus, izmest vai izliet zemē kodīgas vai koroziju izraisošas vielas, degvielu vai eļļošanas materiālus;</w:t>
      </w:r>
    </w:p>
    <w:p w14:paraId="0A2DEFAD" w14:textId="77777777" w:rsidR="00760160" w:rsidRPr="00760160" w:rsidRDefault="00760160" w:rsidP="00090612">
      <w:pPr>
        <w:pStyle w:val="tv2132"/>
        <w:jc w:val="both"/>
        <w:rPr>
          <w:sz w:val="24"/>
          <w:szCs w:val="24"/>
        </w:rPr>
      </w:pPr>
      <w:r w:rsidRPr="00760160">
        <w:rPr>
          <w:color w:val="auto"/>
          <w:sz w:val="24"/>
          <w:szCs w:val="24"/>
        </w:rPr>
        <w:t>3) aizliegts staigāt pa virsūdens cauruļvadu pārejām;</w:t>
      </w:r>
    </w:p>
    <w:p w14:paraId="1F508323" w14:textId="77777777" w:rsidR="00760160" w:rsidRPr="00760160" w:rsidRDefault="00760160" w:rsidP="00090612">
      <w:pPr>
        <w:pStyle w:val="tv2132"/>
        <w:jc w:val="both"/>
        <w:rPr>
          <w:sz w:val="24"/>
          <w:szCs w:val="24"/>
        </w:rPr>
      </w:pPr>
      <w:r w:rsidRPr="00760160">
        <w:rPr>
          <w:color w:val="auto"/>
          <w:sz w:val="24"/>
          <w:szCs w:val="24"/>
        </w:rPr>
        <w:t>4) aizliegts veikt darbus, kas saistīti ar zemes applūdināšanu;</w:t>
      </w:r>
    </w:p>
    <w:p w14:paraId="6EC38D89" w14:textId="77777777" w:rsidR="00760160" w:rsidRPr="00760160" w:rsidRDefault="00760160" w:rsidP="00090612">
      <w:pPr>
        <w:pStyle w:val="tv2132"/>
        <w:jc w:val="both"/>
        <w:rPr>
          <w:sz w:val="24"/>
          <w:szCs w:val="24"/>
        </w:rPr>
      </w:pPr>
      <w:r w:rsidRPr="00760160">
        <w:rPr>
          <w:color w:val="auto"/>
          <w:sz w:val="24"/>
          <w:szCs w:val="24"/>
        </w:rPr>
        <w:t>5) aizliegts audzēt kokus un krūmus platībās, kuras norādītas aizsargjoslu noteikšanas metodikā;</w:t>
      </w:r>
    </w:p>
    <w:p w14:paraId="5F19A6F8" w14:textId="77777777" w:rsidR="00760160" w:rsidRPr="00760160" w:rsidRDefault="00760160" w:rsidP="00090612">
      <w:pPr>
        <w:pStyle w:val="tv2132"/>
        <w:jc w:val="both"/>
        <w:rPr>
          <w:sz w:val="24"/>
          <w:szCs w:val="24"/>
        </w:rPr>
      </w:pPr>
      <w:r w:rsidRPr="00760160">
        <w:rPr>
          <w:color w:val="auto"/>
          <w:sz w:val="24"/>
          <w:szCs w:val="24"/>
        </w:rPr>
        <w:lastRenderedPageBreak/>
        <w:t>6) ja nav noslēgta rakstveida vienošanās ar ogļūdeņražu ieguves vietu, naftas, naftas produktu un bīstamu ķīmisko vielu un produktu cauruļvadu, tilpņu, krātuvju, pārstrādes un pārkraušanas uzņēmumu, degvielas uzpildes staciju īpašnieku, aizliegts:</w:t>
      </w:r>
    </w:p>
    <w:p w14:paraId="76276F01" w14:textId="77777777" w:rsidR="00760160" w:rsidRPr="00760160" w:rsidRDefault="00760160" w:rsidP="00090612">
      <w:pPr>
        <w:pStyle w:val="tv2132"/>
        <w:jc w:val="both"/>
        <w:rPr>
          <w:sz w:val="24"/>
          <w:szCs w:val="24"/>
        </w:rPr>
      </w:pPr>
      <w:r w:rsidRPr="00760160">
        <w:rPr>
          <w:color w:val="auto"/>
          <w:sz w:val="24"/>
          <w:szCs w:val="24"/>
        </w:rPr>
        <w:t>a) būvēt, atjaunot, pārbūvēt vai nojaukt jebkuras ēkas un inženierbūves,</w:t>
      </w:r>
    </w:p>
    <w:p w14:paraId="61DA5D51" w14:textId="77777777" w:rsidR="00760160" w:rsidRPr="00760160" w:rsidRDefault="00760160" w:rsidP="00090612">
      <w:pPr>
        <w:pStyle w:val="tv2132"/>
        <w:jc w:val="both"/>
        <w:rPr>
          <w:sz w:val="24"/>
          <w:szCs w:val="24"/>
        </w:rPr>
      </w:pPr>
      <w:r w:rsidRPr="00760160">
        <w:rPr>
          <w:color w:val="auto"/>
          <w:sz w:val="24"/>
          <w:szCs w:val="24"/>
        </w:rPr>
        <w:t>b) izvietot lopbarības, minerālmēslu, bīstamu ķīmisko vielu un produktu, kokmateriālu, uzliesmojošu, viegli un īpaši viegli uzliesmojošu vielu, produktu un materiālu glabātavas,</w:t>
      </w:r>
    </w:p>
    <w:p w14:paraId="113AD242" w14:textId="77777777" w:rsidR="00760160" w:rsidRPr="00760160" w:rsidRDefault="00760160" w:rsidP="00090612">
      <w:pPr>
        <w:pStyle w:val="tv2132"/>
        <w:jc w:val="both"/>
        <w:rPr>
          <w:sz w:val="24"/>
          <w:szCs w:val="24"/>
        </w:rPr>
      </w:pPr>
      <w:r w:rsidRPr="00760160">
        <w:rPr>
          <w:color w:val="auto"/>
          <w:sz w:val="24"/>
          <w:szCs w:val="24"/>
        </w:rPr>
        <w:t>c) izvietot degvielas uzpildes stacijas,</w:t>
      </w:r>
    </w:p>
    <w:p w14:paraId="18A0DBB0" w14:textId="77777777" w:rsidR="00760160" w:rsidRPr="00760160" w:rsidRDefault="00760160" w:rsidP="00090612">
      <w:pPr>
        <w:pStyle w:val="tv2132"/>
        <w:jc w:val="both"/>
        <w:rPr>
          <w:sz w:val="24"/>
          <w:szCs w:val="24"/>
        </w:rPr>
      </w:pPr>
      <w:r w:rsidRPr="00760160">
        <w:rPr>
          <w:color w:val="auto"/>
          <w:sz w:val="24"/>
          <w:szCs w:val="24"/>
        </w:rPr>
        <w:t>d) ierīkot kuģu, liellaivu un peldošu celtņu piestātnes,</w:t>
      </w:r>
    </w:p>
    <w:p w14:paraId="6E189AC5" w14:textId="77777777" w:rsidR="00760160" w:rsidRPr="00760160" w:rsidRDefault="00760160" w:rsidP="00090612">
      <w:pPr>
        <w:pStyle w:val="tv2132"/>
        <w:jc w:val="both"/>
        <w:rPr>
          <w:sz w:val="24"/>
          <w:szCs w:val="24"/>
        </w:rPr>
      </w:pPr>
      <w:r w:rsidRPr="00760160">
        <w:rPr>
          <w:color w:val="auto"/>
          <w:sz w:val="24"/>
          <w:szCs w:val="24"/>
        </w:rPr>
        <w:t>e) veikt darbus ar uguni un liesmu, dzīt pāļus, lietot vibroveltņus ar svaru, kas lielāks par 5000 kilogramiem, un triecienmehānismus ar jaudu, kas lielāka par 100 kilovatiem,</w:t>
      </w:r>
    </w:p>
    <w:p w14:paraId="40F65B5F" w14:textId="77777777" w:rsidR="00760160" w:rsidRPr="00760160" w:rsidRDefault="00760160" w:rsidP="00090612">
      <w:pPr>
        <w:pStyle w:val="tv2132"/>
        <w:jc w:val="both"/>
        <w:rPr>
          <w:sz w:val="24"/>
          <w:szCs w:val="24"/>
        </w:rPr>
      </w:pPr>
      <w:r w:rsidRPr="00760160">
        <w:rPr>
          <w:color w:val="auto"/>
          <w:sz w:val="24"/>
          <w:szCs w:val="24"/>
        </w:rPr>
        <w:t>f) veikt zemes darbus dziļāk par 0,3 metriem, bet aramzemēs — dziļāk par 0,45 metriem, kā arī meliorācijas un grunts planēšanas darbus,</w:t>
      </w:r>
    </w:p>
    <w:p w14:paraId="461C2341" w14:textId="77777777" w:rsidR="00760160" w:rsidRPr="00760160" w:rsidRDefault="00760160" w:rsidP="00090612">
      <w:pPr>
        <w:pStyle w:val="tv2132"/>
        <w:jc w:val="both"/>
        <w:rPr>
          <w:sz w:val="24"/>
          <w:szCs w:val="24"/>
        </w:rPr>
      </w:pPr>
      <w:r w:rsidRPr="00760160">
        <w:rPr>
          <w:color w:val="auto"/>
          <w:sz w:val="24"/>
          <w:szCs w:val="24"/>
        </w:rPr>
        <w:t>g) veikt ģeoloģiskos, ģeodēziskos un citus pētniecības darbus, kas saistīti ar urbumu veidošanu un grunts paraugu ņemšanu (izņemot augsnes paraugus),</w:t>
      </w:r>
    </w:p>
    <w:p w14:paraId="408142FD" w14:textId="77777777" w:rsidR="00760160" w:rsidRPr="00760160" w:rsidRDefault="00760160" w:rsidP="00090612">
      <w:pPr>
        <w:pStyle w:val="tv2132"/>
        <w:jc w:val="both"/>
        <w:rPr>
          <w:sz w:val="24"/>
          <w:szCs w:val="24"/>
        </w:rPr>
      </w:pPr>
      <w:r w:rsidRPr="00760160">
        <w:rPr>
          <w:color w:val="auto"/>
          <w:sz w:val="24"/>
          <w:szCs w:val="24"/>
        </w:rPr>
        <w:t>h) veikt gultnes padziļināšanas un zemes smelšanas darbus,</w:t>
      </w:r>
    </w:p>
    <w:p w14:paraId="39F3BD9A" w14:textId="77777777" w:rsidR="00760160" w:rsidRPr="00760160" w:rsidRDefault="00760160" w:rsidP="00090612">
      <w:pPr>
        <w:pStyle w:val="tv2132"/>
        <w:jc w:val="both"/>
        <w:rPr>
          <w:color w:val="auto"/>
          <w:sz w:val="24"/>
          <w:szCs w:val="24"/>
        </w:rPr>
      </w:pPr>
      <w:r w:rsidRPr="00760160">
        <w:rPr>
          <w:color w:val="auto"/>
          <w:sz w:val="24"/>
          <w:szCs w:val="24"/>
        </w:rPr>
        <w:t>i) veikt citus darbus, kas traucē ogļūdeņražu ieguves vietu, naftas, naftas produktu un bīstamu ķīmisko vielu un produktu cauruļvadu, tilpņu, krātuvju, pārstrādes un pārkraušanas uzņēmumu, degvielas uzpildes staciju un ar šiem objektiem saistīto iekārtu apkalpošanu vai var bojāt šos objektus.</w:t>
      </w:r>
    </w:p>
    <w:p w14:paraId="56BD80AE" w14:textId="77777777" w:rsidR="00760160" w:rsidRPr="00760160" w:rsidRDefault="00760160" w:rsidP="00090612">
      <w:pPr>
        <w:pStyle w:val="tv2132"/>
        <w:jc w:val="both"/>
        <w:rPr>
          <w:color w:val="auto"/>
          <w:sz w:val="24"/>
          <w:szCs w:val="24"/>
        </w:rPr>
      </w:pPr>
      <w:r w:rsidRPr="00760160">
        <w:rPr>
          <w:color w:val="auto"/>
          <w:sz w:val="24"/>
          <w:szCs w:val="24"/>
        </w:rPr>
        <w:t>Vienlaicīgi informējam, ka kopš 2022.gada beigām maģistrālais naftas produktu cauruļvads “Polocka – Ventspils” ir iztukšots un piepildīts ar inertās gāzes (slāpekļa) maisījumu. SIA “LatRosTrans” turpina uzturēt maģistrālo cauruļvadu drošā stāvokļa režīmā, kura laikā tiek saglabāta maģistrālā cauruļvada darbspēja, nodrošināta ekoloģiskā drošība, rūpnieciskā drošība un ugunsdrošība visam tā uzturēšanas periodam.</w:t>
      </w:r>
    </w:p>
    <w:p w14:paraId="3EFE74D8" w14:textId="77777777" w:rsidR="00760160" w:rsidRPr="00760160" w:rsidRDefault="00760160" w:rsidP="00090612">
      <w:pPr>
        <w:pStyle w:val="tv2132"/>
        <w:jc w:val="both"/>
        <w:rPr>
          <w:color w:val="auto"/>
          <w:sz w:val="24"/>
          <w:szCs w:val="24"/>
        </w:rPr>
      </w:pPr>
    </w:p>
    <w:p w14:paraId="42D54FF2" w14:textId="77777777" w:rsidR="00760160" w:rsidRPr="00760160" w:rsidRDefault="00760160" w:rsidP="00090612">
      <w:pPr>
        <w:pStyle w:val="tv2132"/>
        <w:jc w:val="both"/>
        <w:rPr>
          <w:color w:val="auto"/>
          <w:sz w:val="24"/>
          <w:szCs w:val="24"/>
        </w:rPr>
      </w:pPr>
      <w:r w:rsidRPr="00760160">
        <w:rPr>
          <w:color w:val="auto"/>
          <w:sz w:val="24"/>
          <w:szCs w:val="24"/>
        </w:rPr>
        <w:t>Gadījumā, ja tas ir iespējams, SIA ”LatRosTrans” lūdz publicēt informāciju vietējā laikrakstā, kā arī neiebilst pret tās publicēšanu pašvaldības interneta vietnē.</w:t>
      </w:r>
    </w:p>
    <w:p w14:paraId="7D630FAF" w14:textId="3957338C" w:rsidR="00760160" w:rsidRPr="00760160" w:rsidRDefault="00760160" w:rsidP="00090612">
      <w:pPr>
        <w:spacing w:line="360" w:lineRule="auto"/>
        <w:jc w:val="both"/>
        <w:rPr>
          <w:rFonts w:ascii="Times New Roman" w:hAnsi="Times New Roman" w:cs="Times New Roman"/>
          <w:color w:val="000000"/>
          <w:sz w:val="24"/>
          <w:szCs w:val="24"/>
        </w:rPr>
      </w:pPr>
    </w:p>
    <w:p w14:paraId="5C5DA44F" w14:textId="77777777" w:rsidR="00760160" w:rsidRPr="00760160" w:rsidRDefault="00760160" w:rsidP="007947C5">
      <w:pPr>
        <w:spacing w:line="360" w:lineRule="auto"/>
        <w:rPr>
          <w:rFonts w:ascii="Times New Roman" w:hAnsi="Times New Roman" w:cs="Times New Roman"/>
          <w:color w:val="000000"/>
          <w:sz w:val="24"/>
          <w:szCs w:val="24"/>
        </w:rPr>
      </w:pPr>
      <w:r w:rsidRPr="00760160">
        <w:rPr>
          <w:rFonts w:ascii="Times New Roman" w:hAnsi="Times New Roman" w:cs="Times New Roman"/>
          <w:color w:val="000000"/>
          <w:sz w:val="24"/>
          <w:szCs w:val="24"/>
        </w:rPr>
        <w:t>Ar cieņu,</w:t>
      </w:r>
    </w:p>
    <w:p w14:paraId="0F754EBB" w14:textId="77777777" w:rsidR="00760160" w:rsidRPr="00760160" w:rsidRDefault="00760160" w:rsidP="00760160">
      <w:pPr>
        <w:pStyle w:val="NoSpacing"/>
        <w:rPr>
          <w:rFonts w:ascii="Times New Roman" w:hAnsi="Times New Roman" w:cs="Times New Roman"/>
          <w:sz w:val="24"/>
          <w:szCs w:val="24"/>
        </w:rPr>
      </w:pPr>
      <w:r w:rsidRPr="00760160">
        <w:rPr>
          <w:rFonts w:ascii="Times New Roman" w:hAnsi="Times New Roman" w:cs="Times New Roman"/>
          <w:sz w:val="24"/>
          <w:szCs w:val="24"/>
        </w:rPr>
        <w:t xml:space="preserve">Biznesa attīstības un rūpnieciskās </w:t>
      </w:r>
    </w:p>
    <w:p w14:paraId="225A2238" w14:textId="77777777" w:rsidR="00760160" w:rsidRPr="00760160" w:rsidRDefault="00760160" w:rsidP="00760160">
      <w:pPr>
        <w:pStyle w:val="NoSpacing"/>
        <w:rPr>
          <w:rFonts w:ascii="Times New Roman" w:hAnsi="Times New Roman" w:cs="Times New Roman"/>
          <w:color w:val="000000"/>
          <w:sz w:val="24"/>
          <w:szCs w:val="24"/>
        </w:rPr>
      </w:pPr>
      <w:r w:rsidRPr="00760160">
        <w:rPr>
          <w:rFonts w:ascii="Times New Roman" w:hAnsi="Times New Roman" w:cs="Times New Roman"/>
          <w:sz w:val="24"/>
          <w:szCs w:val="24"/>
        </w:rPr>
        <w:t>drošības direktors</w:t>
      </w:r>
      <w:r w:rsidRPr="00760160">
        <w:rPr>
          <w:rFonts w:ascii="Times New Roman" w:hAnsi="Times New Roman" w:cs="Times New Roman"/>
          <w:sz w:val="24"/>
          <w:szCs w:val="24"/>
        </w:rPr>
        <w:tab/>
      </w:r>
      <w:r w:rsidRPr="00760160">
        <w:rPr>
          <w:rFonts w:ascii="Times New Roman" w:hAnsi="Times New Roman" w:cs="Times New Roman"/>
          <w:sz w:val="24"/>
          <w:szCs w:val="24"/>
        </w:rPr>
        <w:tab/>
      </w:r>
      <w:r w:rsidRPr="00760160">
        <w:rPr>
          <w:rFonts w:ascii="Times New Roman" w:hAnsi="Times New Roman" w:cs="Times New Roman"/>
          <w:sz w:val="24"/>
          <w:szCs w:val="24"/>
        </w:rPr>
        <w:tab/>
        <w:t xml:space="preserve">            </w:t>
      </w:r>
      <w:r w:rsidRPr="00760160">
        <w:rPr>
          <w:rFonts w:ascii="Times New Roman" w:hAnsi="Times New Roman" w:cs="Times New Roman"/>
          <w:sz w:val="24"/>
          <w:szCs w:val="24"/>
        </w:rPr>
        <w:tab/>
      </w:r>
      <w:r w:rsidRPr="00760160">
        <w:rPr>
          <w:rFonts w:ascii="Times New Roman" w:hAnsi="Times New Roman" w:cs="Times New Roman"/>
          <w:sz w:val="24"/>
          <w:szCs w:val="24"/>
        </w:rPr>
        <w:tab/>
        <w:t xml:space="preserve">                        R.Zelčs</w:t>
      </w:r>
    </w:p>
    <w:p w14:paraId="61614C1D" w14:textId="77777777" w:rsidR="00760160" w:rsidRPr="00760160" w:rsidRDefault="00760160" w:rsidP="00090612">
      <w:pPr>
        <w:spacing w:line="360" w:lineRule="auto"/>
        <w:rPr>
          <w:rFonts w:ascii="Times New Roman" w:hAnsi="Times New Roman" w:cs="Times New Roman"/>
          <w:sz w:val="24"/>
          <w:szCs w:val="24"/>
        </w:rPr>
      </w:pPr>
    </w:p>
    <w:p w14:paraId="774BFDDE" w14:textId="77777777" w:rsidR="00760160" w:rsidRPr="00760160" w:rsidRDefault="00760160" w:rsidP="00090612">
      <w:pPr>
        <w:spacing w:line="360" w:lineRule="auto"/>
        <w:rPr>
          <w:rFonts w:ascii="Times New Roman" w:hAnsi="Times New Roman" w:cs="Times New Roman"/>
          <w:sz w:val="20"/>
          <w:szCs w:val="20"/>
        </w:rPr>
      </w:pPr>
      <w:r w:rsidRPr="00760160">
        <w:rPr>
          <w:rFonts w:ascii="Times New Roman" w:hAnsi="Times New Roman" w:cs="Times New Roman"/>
          <w:sz w:val="20"/>
          <w:szCs w:val="20"/>
        </w:rPr>
        <w:t>R.Januševska 26521851</w:t>
      </w:r>
    </w:p>
    <w:p w14:paraId="587C2EA6" w14:textId="77777777" w:rsidR="00D37ECA" w:rsidRDefault="00D37ECA" w:rsidP="0088783E">
      <w:pPr>
        <w:rPr>
          <w:rFonts w:ascii="Times New Roman" w:hAnsi="Times New Roman" w:cs="Times New Roman"/>
          <w:sz w:val="24"/>
          <w:szCs w:val="24"/>
          <w:lang w:val="en-US"/>
        </w:rPr>
        <w:sectPr w:rsidR="00D37ECA" w:rsidSect="00EA6235">
          <w:type w:val="continuous"/>
          <w:pgSz w:w="11906" w:h="16838"/>
          <w:pgMar w:top="1134" w:right="707" w:bottom="1134" w:left="1418" w:header="993" w:footer="708" w:gutter="0"/>
          <w:cols w:space="708"/>
          <w:formProt w:val="0"/>
          <w:titlePg/>
          <w:docGrid w:linePitch="360"/>
        </w:sectPr>
      </w:pPr>
    </w:p>
    <w:p w14:paraId="2F167025" w14:textId="77777777" w:rsidR="0088783E" w:rsidRPr="00E02A7C" w:rsidRDefault="0088783E" w:rsidP="0088783E">
      <w:pPr>
        <w:spacing w:after="0" w:line="240" w:lineRule="auto"/>
        <w:rPr>
          <w:rFonts w:ascii="Times New Roman" w:hAnsi="Times New Roman" w:cs="Times New Roman"/>
          <w:sz w:val="24"/>
          <w:szCs w:val="24"/>
          <w:lang w:val="en-US"/>
        </w:rPr>
      </w:pPr>
      <w:r w:rsidRPr="00E02A7C">
        <w:rPr>
          <w:rFonts w:ascii="Times New Roman" w:hAnsi="Times New Roman" w:cs="Times New Roman"/>
          <w:sz w:val="24"/>
          <w:szCs w:val="24"/>
          <w:lang w:val="en-US"/>
        </w:rPr>
        <w:t>ŠIS DOKUMENTS IR ELEKTRONISKI PARAKSTĪTS AR DROŠU ELEKTRONISKO PARAKSTU UN SATUR LAIKA ZĪMOGU</w:t>
      </w:r>
    </w:p>
    <w:p w14:paraId="0AD90D1E" w14:textId="77777777" w:rsidR="002E1C80" w:rsidRPr="0088783E" w:rsidRDefault="0088783E" w:rsidP="0088783E">
      <w:pPr>
        <w:tabs>
          <w:tab w:val="left" w:pos="2090"/>
        </w:tabs>
        <w:rPr>
          <w:rFonts w:ascii="Times New Roman" w:hAnsi="Times New Roman" w:cs="Times New Roman"/>
          <w:sz w:val="24"/>
          <w:szCs w:val="24"/>
          <w:lang w:val="en-US"/>
        </w:rPr>
      </w:pPr>
      <w:r>
        <w:rPr>
          <w:rFonts w:ascii="Times New Roman" w:hAnsi="Times New Roman" w:cs="Times New Roman"/>
          <w:sz w:val="24"/>
          <w:szCs w:val="24"/>
          <w:lang w:val="en-US"/>
        </w:rPr>
        <w:tab/>
      </w:r>
    </w:p>
    <w:sectPr w:rsidR="002E1C80" w:rsidRPr="0088783E" w:rsidSect="00EA6235">
      <w:type w:val="continuous"/>
      <w:pgSz w:w="11906" w:h="16838"/>
      <w:pgMar w:top="1134" w:right="707" w:bottom="1134" w:left="1418" w:header="99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B4B73" w14:textId="77777777" w:rsidR="001C0D59" w:rsidRDefault="001C0D59" w:rsidP="00FA3210">
      <w:pPr>
        <w:spacing w:after="0" w:line="240" w:lineRule="auto"/>
      </w:pPr>
      <w:r>
        <w:separator/>
      </w:r>
    </w:p>
  </w:endnote>
  <w:endnote w:type="continuationSeparator" w:id="0">
    <w:p w14:paraId="047F36CE" w14:textId="77777777" w:rsidR="001C0D59" w:rsidRDefault="001C0D59" w:rsidP="00FA3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3999D" w14:textId="77777777" w:rsidR="001C0D59" w:rsidRDefault="001C0D59" w:rsidP="00FA3210">
      <w:pPr>
        <w:spacing w:after="0" w:line="240" w:lineRule="auto"/>
      </w:pPr>
      <w:r>
        <w:separator/>
      </w:r>
    </w:p>
  </w:footnote>
  <w:footnote w:type="continuationSeparator" w:id="0">
    <w:p w14:paraId="6C39B6ED" w14:textId="77777777" w:rsidR="001C0D59" w:rsidRDefault="001C0D59" w:rsidP="00FA32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23" w:type="dxa"/>
      <w:tblInd w:w="-142" w:type="dxa"/>
      <w:tblLook w:val="04A0" w:firstRow="1" w:lastRow="0" w:firstColumn="1" w:lastColumn="0" w:noHBand="0" w:noVBand="1"/>
    </w:tblPr>
    <w:tblGrid>
      <w:gridCol w:w="5245"/>
      <w:gridCol w:w="4678"/>
    </w:tblGrid>
    <w:tr w:rsidR="00FA3210" w14:paraId="2754023E" w14:textId="77777777" w:rsidTr="00191F89">
      <w:tc>
        <w:tcPr>
          <w:tcW w:w="5245" w:type="dxa"/>
          <w:tcBorders>
            <w:top w:val="nil"/>
            <w:left w:val="nil"/>
            <w:bottom w:val="nil"/>
            <w:right w:val="nil"/>
          </w:tcBorders>
        </w:tcPr>
        <w:p w14:paraId="4AA8ABFE" w14:textId="77777777" w:rsidR="00105016" w:rsidRDefault="006F1B8E">
          <w:pPr>
            <w:pStyle w:val="Header"/>
            <w:rPr>
              <w:lang w:val="en-US"/>
            </w:rPr>
          </w:pPr>
          <w:r w:rsidRPr="006F1B8E">
            <w:rPr>
              <w:rFonts w:ascii="Calibri" w:eastAsia="Calibri" w:hAnsi="Calibri" w:cs="Times New Roman"/>
              <w:noProof/>
              <w:lang w:eastAsia="lv-LV"/>
            </w:rPr>
            <w:drawing>
              <wp:anchor distT="0" distB="0" distL="114300" distR="114300" simplePos="0" relativeHeight="251659264" behindDoc="1" locked="0" layoutInCell="1" allowOverlap="1" wp14:anchorId="066A8AB8" wp14:editId="40586EC4">
                <wp:simplePos x="0" y="0"/>
                <wp:positionH relativeFrom="column">
                  <wp:posOffset>1905</wp:posOffset>
                </wp:positionH>
                <wp:positionV relativeFrom="page">
                  <wp:posOffset>17145</wp:posOffset>
                </wp:positionV>
                <wp:extent cx="2124710" cy="400050"/>
                <wp:effectExtent l="0" t="0" r="8890" b="0"/>
                <wp:wrapThrough wrapText="bothSides">
                  <wp:wrapPolygon edited="0">
                    <wp:start x="0" y="0"/>
                    <wp:lineTo x="0" y="20571"/>
                    <wp:lineTo x="21497" y="20571"/>
                    <wp:lineTo x="21497" y="0"/>
                    <wp:lineTo x="0" y="0"/>
                  </wp:wrapPolygon>
                </wp:wrapThrough>
                <wp:docPr id="2" name="Рисунок 5" descr="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jpg"/>
                        <pic:cNvPicPr/>
                      </pic:nvPicPr>
                      <pic:blipFill>
                        <a:blip r:embed="rId1"/>
                        <a:stretch>
                          <a:fillRect/>
                        </a:stretch>
                      </pic:blipFill>
                      <pic:spPr>
                        <a:xfrm>
                          <a:off x="0" y="0"/>
                          <a:ext cx="2124710" cy="400050"/>
                        </a:xfrm>
                        <a:prstGeom prst="rect">
                          <a:avLst/>
                        </a:prstGeom>
                      </pic:spPr>
                    </pic:pic>
                  </a:graphicData>
                </a:graphic>
                <wp14:sizeRelV relativeFrom="margin">
                  <wp14:pctHeight>0</wp14:pctHeight>
                </wp14:sizeRelV>
              </wp:anchor>
            </w:drawing>
          </w:r>
        </w:p>
        <w:p w14:paraId="43DB17B9" w14:textId="77777777" w:rsidR="00105016" w:rsidRDefault="00105016" w:rsidP="00105016">
          <w:pPr>
            <w:rPr>
              <w:lang w:val="en-US"/>
            </w:rPr>
          </w:pPr>
        </w:p>
        <w:p w14:paraId="4729F5FD" w14:textId="77777777" w:rsidR="00FA3210" w:rsidRPr="00105016" w:rsidRDefault="00FA3210" w:rsidP="00105016">
          <w:pPr>
            <w:ind w:firstLine="720"/>
            <w:rPr>
              <w:lang w:val="en-US"/>
            </w:rPr>
          </w:pPr>
        </w:p>
      </w:tc>
      <w:tc>
        <w:tcPr>
          <w:tcW w:w="4678" w:type="dxa"/>
          <w:tcBorders>
            <w:top w:val="nil"/>
            <w:left w:val="nil"/>
            <w:bottom w:val="nil"/>
            <w:right w:val="nil"/>
          </w:tcBorders>
        </w:tcPr>
        <w:p w14:paraId="2FCEC653" w14:textId="77777777" w:rsidR="00FA3210" w:rsidRPr="00DD5015" w:rsidRDefault="00FA3210" w:rsidP="00FA3210">
          <w:pPr>
            <w:pStyle w:val="Header"/>
            <w:rPr>
              <w:rFonts w:ascii="Arial Narrow" w:hAnsi="Arial Narrow"/>
              <w:sz w:val="14"/>
              <w:szCs w:val="14"/>
              <w:lang w:val="en-US"/>
            </w:rPr>
          </w:pPr>
          <w:r w:rsidRPr="00DD5015">
            <w:rPr>
              <w:rFonts w:ascii="Arial Narrow" w:hAnsi="Arial Narrow"/>
              <w:sz w:val="14"/>
              <w:szCs w:val="14"/>
              <w:lang w:val="en-US"/>
            </w:rPr>
            <w:t xml:space="preserve">Sabiedrība ar ierobežotu atbildību "LatRosTrans” </w:t>
          </w:r>
        </w:p>
        <w:p w14:paraId="2A9B28B5" w14:textId="77777777" w:rsidR="00FA3210" w:rsidRPr="00DD5015" w:rsidRDefault="00FA3210" w:rsidP="00FA3210">
          <w:pPr>
            <w:pStyle w:val="Header"/>
            <w:rPr>
              <w:rFonts w:ascii="Arial Narrow" w:hAnsi="Arial Narrow" w:cs="Arial"/>
              <w:sz w:val="14"/>
              <w:szCs w:val="14"/>
              <w:lang w:val="en-US"/>
            </w:rPr>
          </w:pPr>
          <w:r w:rsidRPr="00DD5015">
            <w:rPr>
              <w:rFonts w:ascii="Arial Narrow" w:hAnsi="Arial Narrow" w:cs="Arial"/>
              <w:sz w:val="14"/>
              <w:szCs w:val="14"/>
              <w:lang w:val="en-US"/>
            </w:rPr>
            <w:t>Vienotais reģ. Nr. 40003190740</w:t>
          </w:r>
        </w:p>
        <w:p w14:paraId="1D757755" w14:textId="77777777" w:rsidR="00FA3210" w:rsidRPr="00DD5015" w:rsidRDefault="00FA3210" w:rsidP="00FA3210">
          <w:pPr>
            <w:pStyle w:val="Header"/>
            <w:rPr>
              <w:rFonts w:ascii="Arial Narrow" w:hAnsi="Arial Narrow" w:cs="Arial"/>
              <w:sz w:val="14"/>
              <w:szCs w:val="14"/>
              <w:lang w:val="en-US"/>
            </w:rPr>
          </w:pPr>
          <w:r w:rsidRPr="00DD5015">
            <w:rPr>
              <w:rFonts w:ascii="Arial Narrow" w:hAnsi="Arial Narrow" w:cs="Arial"/>
              <w:sz w:val="14"/>
              <w:szCs w:val="14"/>
              <w:lang w:val="en-US"/>
            </w:rPr>
            <w:t xml:space="preserve">Juridiskā adrese: "LRDS Ilūkste", Šēderes pag., </w:t>
          </w:r>
          <w:r w:rsidR="00B46CB4">
            <w:rPr>
              <w:rFonts w:ascii="Arial Narrow" w:hAnsi="Arial Narrow" w:cs="Arial"/>
              <w:sz w:val="14"/>
              <w:szCs w:val="14"/>
              <w:lang w:val="en-US"/>
            </w:rPr>
            <w:t xml:space="preserve">Augšdaugavas </w:t>
          </w:r>
          <w:r w:rsidRPr="00DD5015">
            <w:rPr>
              <w:rFonts w:ascii="Arial Narrow" w:hAnsi="Arial Narrow" w:cs="Arial"/>
              <w:sz w:val="14"/>
              <w:szCs w:val="14"/>
              <w:lang w:val="en-US"/>
            </w:rPr>
            <w:t>nov., Latvija, LV-5474</w:t>
          </w:r>
        </w:p>
        <w:p w14:paraId="3E6FA79C" w14:textId="77777777" w:rsidR="00FA3210" w:rsidRPr="00DD5015" w:rsidRDefault="00FA3210" w:rsidP="00FA3210">
          <w:pPr>
            <w:pStyle w:val="Header"/>
            <w:rPr>
              <w:rFonts w:ascii="Arial Narrow" w:hAnsi="Arial Narrow" w:cs="Arial"/>
              <w:sz w:val="14"/>
              <w:szCs w:val="14"/>
              <w:lang w:val="en-US"/>
            </w:rPr>
          </w:pPr>
          <w:r w:rsidRPr="00DD5015">
            <w:rPr>
              <w:rFonts w:ascii="Arial Narrow" w:hAnsi="Arial Narrow" w:cs="Arial"/>
              <w:sz w:val="14"/>
              <w:szCs w:val="14"/>
              <w:lang w:val="en-US"/>
            </w:rPr>
            <w:t>Biroja adrese: Sporta iela 11, 8.st., Rīga, Latvija, LV-1013</w:t>
          </w:r>
        </w:p>
        <w:p w14:paraId="5C7DDA32" w14:textId="4F6F1D94" w:rsidR="00FA3210" w:rsidRPr="00DD5015" w:rsidRDefault="00FA3210" w:rsidP="00FA3210">
          <w:pPr>
            <w:pStyle w:val="Header"/>
            <w:rPr>
              <w:rFonts w:ascii="Arial Narrow" w:hAnsi="Arial Narrow" w:cs="Arial"/>
              <w:sz w:val="14"/>
              <w:szCs w:val="14"/>
              <w:lang w:val="en-US"/>
            </w:rPr>
          </w:pPr>
          <w:r w:rsidRPr="00DD5015">
            <w:rPr>
              <w:rFonts w:ascii="Arial Narrow" w:hAnsi="Arial Narrow" w:cs="Arial"/>
              <w:sz w:val="14"/>
              <w:szCs w:val="14"/>
              <w:lang w:val="en-US"/>
            </w:rPr>
            <w:t>Tālr. (+371) 677 15 800, e-pasts: riga@lrt.lv</w:t>
          </w:r>
        </w:p>
        <w:p w14:paraId="632897CA" w14:textId="77777777" w:rsidR="00FA3210" w:rsidRDefault="00FA3210">
          <w:pPr>
            <w:pStyle w:val="Header"/>
            <w:rPr>
              <w:lang w:val="en-US"/>
            </w:rPr>
          </w:pPr>
        </w:p>
      </w:tc>
    </w:tr>
  </w:tbl>
  <w:p w14:paraId="5CE6C08A" w14:textId="77777777" w:rsidR="00FA3210" w:rsidRPr="00FA3210" w:rsidRDefault="00FA3210">
    <w:pPr>
      <w:pStyle w:val="Head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nHhVJZXxVwdHTDXFvesbdt4sRprS4GkZOe6OQkGiUDz270TE94EDBl92OhVLzRzklVZumX8VExvW8rZmi68MFw==" w:salt="7YYUFbvJvihdhIndogWhFw=="/>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210"/>
    <w:rsid w:val="00010DF7"/>
    <w:rsid w:val="0001529D"/>
    <w:rsid w:val="00026CC0"/>
    <w:rsid w:val="00086E54"/>
    <w:rsid w:val="000B7391"/>
    <w:rsid w:val="000F7DC7"/>
    <w:rsid w:val="00105016"/>
    <w:rsid w:val="00191F89"/>
    <w:rsid w:val="001C0D59"/>
    <w:rsid w:val="00286263"/>
    <w:rsid w:val="002E1C80"/>
    <w:rsid w:val="003642A4"/>
    <w:rsid w:val="0037177A"/>
    <w:rsid w:val="003E5C93"/>
    <w:rsid w:val="003F05C1"/>
    <w:rsid w:val="004A116D"/>
    <w:rsid w:val="00522F00"/>
    <w:rsid w:val="00544713"/>
    <w:rsid w:val="005A0B3E"/>
    <w:rsid w:val="005D191A"/>
    <w:rsid w:val="005F3385"/>
    <w:rsid w:val="006C50C4"/>
    <w:rsid w:val="006F1B8E"/>
    <w:rsid w:val="00713BD0"/>
    <w:rsid w:val="0073544B"/>
    <w:rsid w:val="00760160"/>
    <w:rsid w:val="0078722A"/>
    <w:rsid w:val="0087209F"/>
    <w:rsid w:val="0088783E"/>
    <w:rsid w:val="008D2442"/>
    <w:rsid w:val="00903B09"/>
    <w:rsid w:val="009358E9"/>
    <w:rsid w:val="00950AAE"/>
    <w:rsid w:val="009547B4"/>
    <w:rsid w:val="009677CC"/>
    <w:rsid w:val="00970B7F"/>
    <w:rsid w:val="009966AE"/>
    <w:rsid w:val="009D2370"/>
    <w:rsid w:val="009E2276"/>
    <w:rsid w:val="00A23AB1"/>
    <w:rsid w:val="00A240C3"/>
    <w:rsid w:val="00A312BF"/>
    <w:rsid w:val="00AB1062"/>
    <w:rsid w:val="00B22930"/>
    <w:rsid w:val="00B46CB4"/>
    <w:rsid w:val="00B75282"/>
    <w:rsid w:val="00B761D8"/>
    <w:rsid w:val="00BD62FE"/>
    <w:rsid w:val="00BF41BE"/>
    <w:rsid w:val="00C32AE5"/>
    <w:rsid w:val="00C3582F"/>
    <w:rsid w:val="00CD1C88"/>
    <w:rsid w:val="00CE0AE8"/>
    <w:rsid w:val="00D351F6"/>
    <w:rsid w:val="00D37ECA"/>
    <w:rsid w:val="00D50058"/>
    <w:rsid w:val="00D64FD4"/>
    <w:rsid w:val="00D77D27"/>
    <w:rsid w:val="00D8124C"/>
    <w:rsid w:val="00D81827"/>
    <w:rsid w:val="00DD240C"/>
    <w:rsid w:val="00DD5015"/>
    <w:rsid w:val="00E02A7C"/>
    <w:rsid w:val="00E03457"/>
    <w:rsid w:val="00EA6235"/>
    <w:rsid w:val="00ED2D25"/>
    <w:rsid w:val="00EE7155"/>
    <w:rsid w:val="00EF3313"/>
    <w:rsid w:val="00F038AC"/>
    <w:rsid w:val="00F3645D"/>
    <w:rsid w:val="00F629B1"/>
    <w:rsid w:val="00FA3210"/>
    <w:rsid w:val="00FA529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3FEF15"/>
  <w15:chartTrackingRefBased/>
  <w15:docId w15:val="{A9FFF55B-F003-48C0-926F-DEF62EE8C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3210"/>
    <w:pPr>
      <w:tabs>
        <w:tab w:val="center" w:pos="4677"/>
        <w:tab w:val="right" w:pos="9355"/>
      </w:tabs>
      <w:spacing w:after="0" w:line="240" w:lineRule="auto"/>
    </w:pPr>
  </w:style>
  <w:style w:type="character" w:customStyle="1" w:styleId="HeaderChar">
    <w:name w:val="Header Char"/>
    <w:basedOn w:val="DefaultParagraphFont"/>
    <w:link w:val="Header"/>
    <w:uiPriority w:val="99"/>
    <w:rsid w:val="00FA3210"/>
  </w:style>
  <w:style w:type="paragraph" w:styleId="Footer">
    <w:name w:val="footer"/>
    <w:basedOn w:val="Normal"/>
    <w:link w:val="FooterChar"/>
    <w:uiPriority w:val="99"/>
    <w:unhideWhenUsed/>
    <w:rsid w:val="00FA3210"/>
    <w:pPr>
      <w:tabs>
        <w:tab w:val="center" w:pos="4677"/>
        <w:tab w:val="right" w:pos="9355"/>
      </w:tabs>
      <w:spacing w:after="0" w:line="240" w:lineRule="auto"/>
    </w:pPr>
  </w:style>
  <w:style w:type="character" w:customStyle="1" w:styleId="FooterChar">
    <w:name w:val="Footer Char"/>
    <w:basedOn w:val="DefaultParagraphFont"/>
    <w:link w:val="Footer"/>
    <w:uiPriority w:val="99"/>
    <w:rsid w:val="00FA3210"/>
  </w:style>
  <w:style w:type="table" w:styleId="TableGrid">
    <w:name w:val="Table Grid"/>
    <w:basedOn w:val="TableNormal"/>
    <w:uiPriority w:val="39"/>
    <w:rsid w:val="00FA3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A32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3210"/>
    <w:rPr>
      <w:rFonts w:ascii="Segoe UI" w:hAnsi="Segoe UI" w:cs="Segoe UI"/>
      <w:sz w:val="18"/>
      <w:szCs w:val="18"/>
    </w:rPr>
  </w:style>
  <w:style w:type="table" w:styleId="TableGridLight">
    <w:name w:val="Grid Table Light"/>
    <w:basedOn w:val="TableNormal"/>
    <w:uiPriority w:val="40"/>
    <w:rsid w:val="0001529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v2132">
    <w:name w:val="tv2132"/>
    <w:basedOn w:val="Normal"/>
    <w:rsid w:val="00760160"/>
    <w:pPr>
      <w:spacing w:after="0" w:line="360" w:lineRule="auto"/>
      <w:ind w:firstLine="300"/>
    </w:pPr>
    <w:rPr>
      <w:rFonts w:ascii="Times New Roman" w:eastAsia="Calibri" w:hAnsi="Times New Roman" w:cs="Times New Roman"/>
      <w:color w:val="414142"/>
      <w:sz w:val="20"/>
      <w:szCs w:val="20"/>
      <w:lang w:eastAsia="lv-LV"/>
    </w:rPr>
  </w:style>
  <w:style w:type="paragraph" w:styleId="NoSpacing">
    <w:name w:val="No Spacing"/>
    <w:uiPriority w:val="1"/>
    <w:qFormat/>
    <w:rsid w:val="007601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615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56796-29E6-479C-803E-ED56D3B1F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2617</Words>
  <Characters>1493</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Edgars Formanickis</dc:creator>
  <cp:keywords/>
  <dc:description/>
  <cp:lastModifiedBy>LatRosTrans</cp:lastModifiedBy>
  <cp:revision>4</cp:revision>
  <cp:lastPrinted>2019-07-18T08:15:00Z</cp:lastPrinted>
  <dcterms:created xsi:type="dcterms:W3CDTF">2023-01-18T13:52:00Z</dcterms:created>
  <dcterms:modified xsi:type="dcterms:W3CDTF">2023-04-14T08:59:00Z</dcterms:modified>
</cp:coreProperties>
</file>